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c3a22b3c809090a622c38654432b37936139e3e"/>
    <w:p>
      <w:pPr>
        <w:pStyle w:val="Heading1"/>
      </w:pPr>
      <w:r>
        <w:t xml:space="preserve">Annotated Bibliography: The Role and Practice of the Architect in New Zealand Auckland</w:t>
      </w:r>
    </w:p>
    <w:p>
      <w:pPr>
        <w:pStyle w:val="FirstParagraph"/>
      </w:pPr>
      <w:r>
        <w:t xml:space="preserve">This annotated bibliography compiles essential resources regarding the profession of the architect within the specific context of Auckland, New Zealand. It explores the regulatory frameworks, environmental challenges, cultural considerations, and urban development pressures that define architectural practice in the region.</w:t>
      </w:r>
    </w:p>
    <w:bookmarkStart w:id="20" w:name="Xf8c719d2ef2d44dc8d18bff52a09f4554478458"/>
    <w:p>
      <w:pPr>
        <w:pStyle w:val="Heading2"/>
      </w:pPr>
      <w:r>
        <w:t xml:space="preserve">Regulatory Frameworks and Professional Standards</w:t>
      </w:r>
    </w:p>
    <w:p>
      <w:pPr>
        <w:pStyle w:val="FirstParagraph"/>
      </w:pPr>
      <w:r>
        <w:t xml:space="preserve">Architects Registration Board of New Zealand. (2023).</w:t>
      </w:r>
      <w:r>
        <w:t xml:space="preserve"> </w:t>
      </w:r>
      <w:r>
        <w:rPr>
          <w:iCs/>
          <w:i/>
        </w:rPr>
        <w:t xml:space="preserve">Code of Professional Conduct</w:t>
      </w:r>
      <w:r>
        <w:t xml:space="preserve">. Wellington: ARBNZ.</w:t>
      </w:r>
    </w:p>
    <w:p>
      <w:pPr>
        <w:pStyle w:val="BodyText"/>
      </w:pPr>
      <w:r>
        <w:t xml:space="preserve">This document is foundational for any architect practicing in New Zealand, including Auckland. It outlines the ethical obligations, professional responsibilities, and standards of practice required for registration. For architects in Auckland, this code is particularly relevant given the high density of development and the complex stakeholder environments often encountered in the city. It ensures that the architect maintains integrity while navigating the pressures of commercial development and public expectation in New Zealand's largest urban center.</w:t>
      </w:r>
    </w:p>
    <w:p>
      <w:pPr>
        <w:pStyle w:val="BodyText"/>
      </w:pPr>
      <w:r>
        <w:t xml:space="preserve">New Zealand Government. (2023).</w:t>
      </w:r>
      <w:r>
        <w:t xml:space="preserve"> </w:t>
      </w:r>
      <w:r>
        <w:rPr>
          <w:iCs/>
          <w:i/>
        </w:rPr>
        <w:t xml:space="preserve">Building Act 2004</w:t>
      </w:r>
      <w:r>
        <w:t xml:space="preserve">. Wellington: New Zealand Legislation.</w:t>
      </w:r>
    </w:p>
    <w:p>
      <w:pPr>
        <w:pStyle w:val="BodyText"/>
      </w:pPr>
      <w:r>
        <w:t xml:space="preserve">The Building Act 2004 provides the legal framework for building work in New Zealand. For an architect in Auckland, understanding this Act is critical for ensuring compliance with safety, health, and amenity standards. Auckland's unique geological conditions, including volcanic cones and seismic activity, require architects to interpret these regulations with precision. This resource is essential for understanding the legal liabilities and duties of care that an architect must uphold when designing structures in this specific jurisdiction.</w:t>
      </w:r>
    </w:p>
    <w:bookmarkEnd w:id="20"/>
    <w:bookmarkStart w:id="21" w:name="X41b7ae2162f686a838f1a7adb4de2c19cc0eb6e"/>
    <w:p>
      <w:pPr>
        <w:pStyle w:val="Heading2"/>
      </w:pPr>
      <w:r>
        <w:t xml:space="preserve">Urban Planning and Development in Auckland</w:t>
      </w:r>
    </w:p>
    <w:p>
      <w:pPr>
        <w:pStyle w:val="FirstParagraph"/>
      </w:pPr>
      <w:r>
        <w:t xml:space="preserve">Auckland Council. (2022).</w:t>
      </w:r>
      <w:r>
        <w:t xml:space="preserve"> </w:t>
      </w:r>
      <w:r>
        <w:rPr>
          <w:iCs/>
          <w:i/>
        </w:rPr>
        <w:t xml:space="preserve">Auckland Unitary Plan (Operative in Part)</w:t>
      </w:r>
      <w:r>
        <w:t xml:space="preserve">. Auckland: Auckland Council.</w:t>
      </w:r>
    </w:p>
    <w:p>
      <w:pPr>
        <w:pStyle w:val="BodyText"/>
      </w:pPr>
      <w:r>
        <w:t xml:space="preserve">The Unitary Plan is the primary planning document for Auckland, governing land use, building heights, and density. For the architect, this document is indispensable. It dictates the parameters within which design must occur, influencing everything from residential subdivisions in the suburbs to high-rise developments in the CBD. Understanding the zoning rules and overlay controls within the Unitary Plan allows the architect to create viable designs that align with Auckland's strategic growth goals and urban form.</w:t>
      </w:r>
    </w:p>
    <w:p>
      <w:pPr>
        <w:pStyle w:val="BodyText"/>
      </w:pPr>
      <w:r>
        <w:t xml:space="preserve">Auckland Council. (2021).</w:t>
      </w:r>
      <w:r>
        <w:t xml:space="preserve"> </w:t>
      </w:r>
      <w:r>
        <w:rPr>
          <w:iCs/>
          <w:i/>
        </w:rPr>
        <w:t xml:space="preserve">Auckland Plan 2050</w:t>
      </w:r>
      <w:r>
        <w:t xml:space="preserve">. Auckland: Auckland Council.</w:t>
      </w:r>
    </w:p>
    <w:p>
      <w:pPr>
        <w:pStyle w:val="BodyText"/>
      </w:pPr>
      <w:r>
        <w:t xml:space="preserve">This long-term strategic plan outlines the vision for Auckland's future growth, infrastructure, and environmental management. Architects in Auckland must align their projects with the principles set out in this plan, particularly regarding sustainable urban design, public transport integration, and green space preservation. It provides context for how individual architectural projects contribute to the broader narrative of Auckland's development as a global city within New Zealand.</w:t>
      </w:r>
    </w:p>
    <w:bookmarkEnd w:id="21"/>
    <w:bookmarkStart w:id="22" w:name="Xb1d7dadcac2ad8461f52e507cc218cc501da628"/>
    <w:p>
      <w:pPr>
        <w:pStyle w:val="Heading2"/>
      </w:pPr>
      <w:r>
        <w:t xml:space="preserve">Environmental Sustainability and Climate Resilience</w:t>
      </w:r>
    </w:p>
    <w:p>
      <w:pPr>
        <w:pStyle w:val="FirstParagraph"/>
      </w:pPr>
      <w:r>
        <w:t xml:space="preserve">Green Building Council of New Zealand. (2023).</w:t>
      </w:r>
      <w:r>
        <w:t xml:space="preserve"> </w:t>
      </w:r>
      <w:r>
        <w:rPr>
          <w:iCs/>
          <w:i/>
        </w:rPr>
        <w:t xml:space="preserve">Green Star Rating Tool</w:t>
      </w:r>
      <w:r>
        <w:t xml:space="preserve">. Wellington: GBCNZ.</w:t>
      </w:r>
    </w:p>
    <w:p>
      <w:pPr>
        <w:pStyle w:val="BodyText"/>
      </w:pPr>
      <w:r>
        <w:t xml:space="preserve">As environmental concerns grow, the Green Star rating system has become a benchmark for sustainable architecture in New Zealand. For architects in Auckland, utilizing this tool is increasingly important for meeting client expectations and regulatory requirements. It guides the design process towards energy efficiency, water conservation, and material sustainability, which are crucial in Auckland's subtropical climate and coastal environment.</w:t>
      </w:r>
    </w:p>
    <w:p>
      <w:pPr>
        <w:pStyle w:val="BodyText"/>
      </w:pPr>
      <w:r>
        <w:t xml:space="preserve">Ministry for the Environment. (2022).</w:t>
      </w:r>
      <w:r>
        <w:t xml:space="preserve"> </w:t>
      </w:r>
      <w:r>
        <w:rPr>
          <w:iCs/>
          <w:i/>
        </w:rPr>
        <w:t xml:space="preserve">Aotearoa New Zealand's First National Adaptation Plan</w:t>
      </w:r>
      <w:r>
        <w:t xml:space="preserve">. Wellington: ME.</w:t>
      </w:r>
    </w:p>
    <w:p>
      <w:pPr>
        <w:pStyle w:val="BodyText"/>
      </w:pPr>
      <w:r>
        <w:t xml:space="preserve">This plan addresses the impacts of climate change on New Zealand, including sea-level rise and extreme weather events. Auckland, being a coastal city, is particularly vulnerable. Architects must consider these risks in their designs, ensuring resilience and adaptability. This resource provides critical data and guidance for architects to integrate climate adaptation strategies into their projects, protecting both people and assets in Auckland.</w:t>
      </w:r>
    </w:p>
    <w:bookmarkEnd w:id="22"/>
    <w:bookmarkStart w:id="23" w:name="cultural-context-and-māori-perspectives"/>
    <w:p>
      <w:pPr>
        <w:pStyle w:val="Heading2"/>
      </w:pPr>
      <w:r>
        <w:t xml:space="preserve">Cultural Context and Māori Perspectives</w:t>
      </w:r>
    </w:p>
    <w:p>
      <w:pPr>
        <w:pStyle w:val="FirstParagraph"/>
      </w:pPr>
      <w:r>
        <w:t xml:space="preserve">Te Ara: The Encyclopedia of New Zealand. (2023).</w:t>
      </w:r>
      <w:r>
        <w:t xml:space="preserve"> </w:t>
      </w:r>
      <w:r>
        <w:rPr>
          <w:iCs/>
          <w:i/>
        </w:rPr>
        <w:t xml:space="preserve">Māori Architecture</w:t>
      </w:r>
      <w:r>
        <w:t xml:space="preserve">. Wellington: Te Ara.</w:t>
      </w:r>
    </w:p>
    <w:p>
      <w:pPr>
        <w:pStyle w:val="BodyText"/>
      </w:pPr>
      <w:r>
        <w:t xml:space="preserve">Understanding traditional Māori architecture and cultural values is essential for architects practicing in New Zealand. In Auckland, where there is a significant Māori population and strong cultural presence, architects are increasingly expected to incorporate Māori perspectives into their designs. This resource provides insights into concepts such as whakapapa (genealogy) and mana whenua (authority of the land), which can inform culturally responsive architectural practice in Auckland.</w:t>
      </w:r>
    </w:p>
    <w:p>
      <w:pPr>
        <w:pStyle w:val="BodyText"/>
      </w:pPr>
      <w:r>
        <w:t xml:space="preserve">Auckland Council. (2020).</w:t>
      </w:r>
      <w:r>
        <w:t xml:space="preserve"> </w:t>
      </w:r>
      <w:r>
        <w:rPr>
          <w:iCs/>
          <w:i/>
        </w:rPr>
        <w:t xml:space="preserve">Tātai Ora: Auckland Council's Māori Development Strategy</w:t>
      </w:r>
      <w:r>
        <w:t xml:space="preserve">. Auckland: Auckland Council.</w:t>
      </w:r>
    </w:p>
    <w:p>
      <w:pPr>
        <w:pStyle w:val="BodyText"/>
      </w:pPr>
      <w:r>
        <w:t xml:space="preserve">This strategy outlines Auckland Council's commitment to improving outcomes for Māori. For architects, it highlights the importance of engaging with mana whenua and incorporating Māori cultural values into the design and development process. It provides a framework for architects to ensure their work is culturally appropriate and respectful, fostering stronger relationships with local communities in Auckland.</w:t>
      </w:r>
    </w:p>
    <w:bookmarkEnd w:id="23"/>
    <w:bookmarkStart w:id="24" w:name="architectural-history-and-identity"/>
    <w:p>
      <w:pPr>
        <w:pStyle w:val="Heading2"/>
      </w:pPr>
      <w:r>
        <w:t xml:space="preserve">Architectural History and Identity</w:t>
      </w:r>
    </w:p>
    <w:p>
      <w:pPr>
        <w:pStyle w:val="FirstParagraph"/>
      </w:pPr>
      <w:r>
        <w:t xml:space="preserve">Heritage New Zealand Pouhere Taonga. (2023).</w:t>
      </w:r>
      <w:r>
        <w:t xml:space="preserve"> </w:t>
      </w:r>
      <w:r>
        <w:rPr>
          <w:iCs/>
          <w:i/>
        </w:rPr>
        <w:t xml:space="preserve">Auckland Heritage Register</w:t>
      </w:r>
      <w:r>
        <w:t xml:space="preserve">. Wellington: Heritage New Zealand.</w:t>
      </w:r>
    </w:p>
    <w:p>
      <w:pPr>
        <w:pStyle w:val="BodyText"/>
      </w:pPr>
      <w:r>
        <w:t xml:space="preserve">This register identifies buildings and sites of historical and cultural significance in Auckland. For architects involved in renovation, restoration, or new development in heritage areas, this resource is vital. It ensures that architectural interventions respect and preserve Auckland's unique architectural heritage, contributing to the city's distinct identity within New Zealand.</w:t>
      </w:r>
    </w:p>
    <w:p>
      <w:pPr>
        <w:pStyle w:val="BodyText"/>
      </w:pPr>
      <w:r>
        <w:t xml:space="preserve">This bibliography provides a comprehensive overview of the key resources that inform the practice of architecture in Auckland, New Zealand. It highlights the multifaceted nature of the profession, encompassing legal, environmental, cultural, and historical dimensions.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New Zealand Auckland</dc:title>
  <dc:creator/>
  <dc:language>en</dc:language>
  <cp:keywords/>
  <dcterms:created xsi:type="dcterms:W3CDTF">2026-08-09T12:41:48Z</dcterms:created>
  <dcterms:modified xsi:type="dcterms:W3CDTF">2026-08-09T12:41:48Z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