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Singapore</w:t>
      </w:r>
    </w:p>
    <w:bookmarkStart w:id="20" w:name="X7f163c2e6562ba5fdca179df81af2d34945f6e9"/>
    <w:p>
      <w:pPr>
        <w:pStyle w:val="Heading1"/>
      </w:pPr>
      <w:r>
        <w:t xml:space="preserve">Annotated Bibliography: The Role of the Architect in Singapore</w:t>
      </w:r>
    </w:p>
    <w:p>
      <w:pPr>
        <w:pStyle w:val="FirstParagraph"/>
      </w:pPr>
      <w:r>
        <w:rPr>
          <w:bCs/>
          <w:b/>
        </w:rPr>
        <w:t xml:space="preserve">Subject:</w:t>
      </w:r>
      <w:r>
        <w:t xml:space="preserve"> </w:t>
      </w:r>
      <w:r>
        <w:t xml:space="preserve">Architectural Practice, Urban Planning, and Professional Regulation</w:t>
      </w:r>
      <w:r>
        <w:br/>
      </w:r>
      <w:r>
        <w:rPr>
          <w:bCs/>
          <w:b/>
        </w:rPr>
        <w:t xml:space="preserve">Region:</w:t>
      </w:r>
      <w:r>
        <w:t xml:space="preserve"> </w:t>
      </w:r>
      <w:r>
        <w:t xml:space="preserve">Singapore</w:t>
      </w:r>
      <w:r>
        <w:br/>
      </w:r>
      <w:r>
        <w:rPr>
          <w:bCs/>
          <w:b/>
        </w:rPr>
        <w:t xml:space="preserve">Purpose:</w:t>
      </w:r>
      <w:r>
        <w:t xml:space="preserve"> </w:t>
      </w:r>
      <w:r>
        <w:t xml:space="preserve">To provide a comprehensive overview of the regulatory, environmental, and cultural frameworks governing the architect in Singapore.</w:t>
      </w:r>
    </w:p>
    <w:bookmarkEnd w:id="20"/>
    <w:p>
      <w:pPr>
        <w:pStyle w:val="BodyText"/>
      </w:pPr>
      <w:r>
        <w:t xml:space="preserve">The following annotated bibliography compiles essential resources regarding the profession of the</w:t>
      </w:r>
      <w:r>
        <w:t xml:space="preserve"> </w:t>
      </w:r>
      <w:r>
        <w:rPr>
          <w:bCs/>
          <w:b/>
        </w:rPr>
        <w:t xml:space="preserve">architect</w:t>
      </w:r>
      <w:r>
        <w:t xml:space="preserve"> </w:t>
      </w:r>
      <w:r>
        <w:t xml:space="preserve">within the unique context of</w:t>
      </w:r>
      <w:r>
        <w:t xml:space="preserve"> </w:t>
      </w:r>
      <w:r>
        <w:rPr>
          <w:bCs/>
          <w:b/>
        </w:rPr>
        <w:t xml:space="preserve">Singapore</w:t>
      </w:r>
      <w:r>
        <w:t xml:space="preserve">. As a city-state characterized by high density, limited land mass, and a tropical climate, the role of the architect here extends beyond aesthetic design to include critical responsibilities in urban sustainability, heritage conservation, and strict regulatory compliance. These sources cover the legal framework established by the Board of Architects, the push for green building standards, and the evolution of Singapore's architectural identity.</w:t>
      </w:r>
    </w:p>
    <w:bookmarkStart w:id="23" w:name="Xaad3a418c8ef3c19a5bc76006d14d635d29dc9e"/>
    <w:p>
      <w:pPr>
        <w:pStyle w:val="Heading2"/>
      </w:pPr>
      <w:r>
        <w:t xml:space="preserve">Regulatory Framework and Professional Practice</w:t>
      </w:r>
    </w:p>
    <w:bookmarkStart w:id="21" w:name="X1c91483b9078c98d87035c2a02577a1b53fa556"/>
    <w:p>
      <w:pPr>
        <w:pStyle w:val="Heading3"/>
      </w:pPr>
      <w:r>
        <w:t xml:space="preserve">Board of Architects Singapore. (2023).</w:t>
      </w:r>
      <w:r>
        <w:t xml:space="preserve"> </w:t>
      </w:r>
      <w:r>
        <w:rPr>
          <w:iCs/>
          <w:i/>
        </w:rPr>
        <w:t xml:space="preserve">Architects Act (Chapter 16) and Regulations</w:t>
      </w:r>
      <w:r>
        <w:t xml:space="preserve">. Singapore Government Printing Office.</w:t>
      </w:r>
    </w:p>
    <w:p>
      <w:pPr>
        <w:pStyle w:val="FirstParagraph"/>
      </w:pPr>
      <w:r>
        <w:t xml:space="preserve">Retrieved from the official Board of Architects Singapore website.</w:t>
      </w:r>
    </w:p>
    <w:p>
      <w:pPr>
        <w:pStyle w:val="BodyText"/>
      </w:pPr>
      <w:r>
        <w:t xml:space="preserve">This primary legal document is the cornerstone for understanding the practice of an</w:t>
      </w:r>
      <w:r>
        <w:t xml:space="preserve"> </w:t>
      </w:r>
      <w:r>
        <w:rPr>
          <w:bCs/>
          <w:b/>
        </w:rPr>
        <w:t xml:space="preserve">architect</w:t>
      </w:r>
      <w:r>
        <w:t xml:space="preserve"> </w:t>
      </w:r>
      <w:r>
        <w:t xml:space="preserve">in</w:t>
      </w:r>
      <w:r>
        <w:t xml:space="preserve"> </w:t>
      </w:r>
      <w:r>
        <w:rPr>
          <w:bCs/>
          <w:b/>
        </w:rPr>
        <w:t xml:space="preserve">Singapore</w:t>
      </w:r>
      <w:r>
        <w:t xml:space="preserve">. It outlines the statutory requirements for registration, the code of professional conduct, and the disciplinary procedures enforced by the Board of Architects (BOA). For any professional operating in this jurisdiction, this text is mandatory reading. It defines the scope of work that only a registered architect may undertake, ensuring public safety and professional integrity. The document is crucial for understanding the legal liabilities and ethical obligations that distinguish a licensed architect from other design professionals in the Singaporean market.</w:t>
      </w:r>
    </w:p>
    <w:bookmarkEnd w:id="21"/>
    <w:bookmarkStart w:id="22" w:name="X398301d548d6690b1c555c597aef3ecbe894a90"/>
    <w:p>
      <w:pPr>
        <w:pStyle w:val="Heading3"/>
      </w:pPr>
      <w:r>
        <w:t xml:space="preserve">Urban Redevelopment Authority (URA). (2022).</w:t>
      </w:r>
      <w:r>
        <w:t xml:space="preserve"> </w:t>
      </w:r>
      <w:r>
        <w:rPr>
          <w:iCs/>
          <w:i/>
        </w:rPr>
        <w:t xml:space="preserve">Planning Guidelines for Private Housing Developments</w:t>
      </w:r>
      <w:r>
        <w:t xml:space="preserve">. URA Publications.</w:t>
      </w:r>
    </w:p>
    <w:p>
      <w:pPr>
        <w:pStyle w:val="FirstParagraph"/>
      </w:pPr>
      <w:r>
        <w:t xml:space="preserve">Available via the URA Master Plan portal.</w:t>
      </w:r>
    </w:p>
    <w:p>
      <w:pPr>
        <w:pStyle w:val="BodyText"/>
      </w:pPr>
      <w:r>
        <w:t xml:space="preserve">In</w:t>
      </w:r>
      <w:r>
        <w:t xml:space="preserve"> </w:t>
      </w:r>
      <w:r>
        <w:rPr>
          <w:bCs/>
          <w:b/>
        </w:rPr>
        <w:t xml:space="preserve">Singapore</w:t>
      </w:r>
      <w:r>
        <w:t xml:space="preserve">, the architect does not work in a vacuum but within a highly regulated planning environment managed by the Urban Redevelopment Authority (URA). This publication details the specific constraints and opportunities available to architects designing residential projects. It covers plot ratios, height restrictions, setback requirements, and design excellence awards. This resource is vital for architects to navigate the dense urban fabric of Singapore, ensuring that their designs are not only creative but also compliant with the national vision for housing and urban density.</w:t>
      </w:r>
    </w:p>
    <w:bookmarkEnd w:id="22"/>
    <w:bookmarkEnd w:id="23"/>
    <w:bookmarkStart w:id="26" w:name="X48b4e18f2d1ce0dcfba6fa2079585bd50a5e76c"/>
    <w:p>
      <w:pPr>
        <w:pStyle w:val="Heading2"/>
      </w:pPr>
      <w:r>
        <w:t xml:space="preserve">Sustainability and Green Building Standards</w:t>
      </w:r>
    </w:p>
    <w:bookmarkStart w:id="24" w:name="Xe8a4ee9eccbb78a2b941207c001cc8c45704d6c"/>
    <w:p>
      <w:pPr>
        <w:pStyle w:val="Heading3"/>
      </w:pPr>
      <w:r>
        <w:t xml:space="preserve">Building and Construction Authority (BCA). (2021).</w:t>
      </w:r>
      <w:r>
        <w:t xml:space="preserve"> </w:t>
      </w:r>
      <w:r>
        <w:rPr>
          <w:iCs/>
          <w:i/>
        </w:rPr>
        <w:t xml:space="preserve">Green Mark Certification Scheme: Technical Reference Manual</w:t>
      </w:r>
      <w:r>
        <w:t xml:space="preserve">. BCA Singapore.</w:t>
      </w:r>
    </w:p>
    <w:p>
      <w:pPr>
        <w:pStyle w:val="FirstParagraph"/>
      </w:pPr>
      <w:r>
        <w:t xml:space="preserve">Published by the Building and Construction Authority.</w:t>
      </w:r>
    </w:p>
    <w:p>
      <w:pPr>
        <w:pStyle w:val="BodyText"/>
      </w:pPr>
      <w:r>
        <w:t xml:space="preserve">Sustainability is a defining characteristic of the modern</w:t>
      </w:r>
      <w:r>
        <w:t xml:space="preserve"> </w:t>
      </w:r>
      <w:r>
        <w:rPr>
          <w:bCs/>
          <w:b/>
        </w:rPr>
        <w:t xml:space="preserve">architect</w:t>
      </w:r>
      <w:r>
        <w:t xml:space="preserve"> </w:t>
      </w:r>
      <w:r>
        <w:t xml:space="preserve">in</w:t>
      </w:r>
      <w:r>
        <w:t xml:space="preserve"> </w:t>
      </w:r>
      <w:r>
        <w:rPr>
          <w:bCs/>
          <w:b/>
        </w:rPr>
        <w:t xml:space="preserve">Singapore</w:t>
      </w:r>
      <w:r>
        <w:t xml:space="preserve">. This manual provides the technical criteria for the Green Mark certification, which is effectively mandatory for most new buildings and major renovations. The document details requirements for energy efficiency, water conservation, indoor environmental quality, and sustainable construction practices. It is an essential technical reference for architects aiming to design buildings that meet Singapore's aggressive carbon reduction targets. The manual illustrates how the architect must integrate passive design strategies suitable for the tropical climate with active mechanical systems.</w:t>
      </w:r>
    </w:p>
    <w:bookmarkEnd w:id="24"/>
    <w:bookmarkStart w:id="25" w:name="X1705a7f482706b74b4ea7de4883070597e1c353"/>
    <w:p>
      <w:pPr>
        <w:pStyle w:val="Heading3"/>
      </w:pPr>
      <w:r>
        <w:t xml:space="preserve">Chong, S. K., &amp; Lim, B. L. (2019).</w:t>
      </w:r>
      <w:r>
        <w:t xml:space="preserve"> </w:t>
      </w:r>
      <w:r>
        <w:rPr>
          <w:iCs/>
          <w:i/>
        </w:rPr>
        <w:t xml:space="preserve">Tropical Modernism: Reinterpreting the Architect's Role in Singapore's Climate</w:t>
      </w:r>
      <w:r>
        <w:t xml:space="preserve">. Journal of Sustainable Architecture, 14(2), 45-62.</w:t>
      </w:r>
    </w:p>
    <w:p>
      <w:pPr>
        <w:pStyle w:val="FirstParagraph"/>
      </w:pPr>
      <w:r>
        <w:t xml:space="preserve">Academic Journal Publication.</w:t>
      </w:r>
    </w:p>
    <w:p>
      <w:pPr>
        <w:pStyle w:val="BodyText"/>
      </w:pPr>
      <w:r>
        <w:t xml:space="preserve">This scholarly article examines the historical and contemporary role of the architect in addressing Singapore's tropical climate. It argues that the architect in Singapore must revive principles of tropical modernism—such as cross-ventilation, shading, and biophilic design—to combat the heat island effect. The authors analyze case studies of recent buildings that successfully integrate nature into the built environment. This source is valuable for understanding the theoretical underpinnings of sustainable design in Singapore and provides a critical perspective on how architects can move beyond mere compliance with regulations to create genuinely climate-responsive architecture.</w:t>
      </w:r>
    </w:p>
    <w:bookmarkEnd w:id="25"/>
    <w:bookmarkEnd w:id="26"/>
    <w:bookmarkStart w:id="29" w:name="heritage-culture-and-urban-identity"/>
    <w:p>
      <w:pPr>
        <w:pStyle w:val="Heading2"/>
      </w:pPr>
      <w:r>
        <w:t xml:space="preserve">Heritage, Culture, and Urban Identity</w:t>
      </w:r>
    </w:p>
    <w:bookmarkStart w:id="27" w:name="X3406e7156df085d2166847c3b7d5ffb3bdaf77f"/>
    <w:p>
      <w:pPr>
        <w:pStyle w:val="Heading3"/>
      </w:pPr>
      <w:r>
        <w:t xml:space="preserve">Ng, T. (2020).</w:t>
      </w:r>
      <w:r>
        <w:t xml:space="preserve"> </w:t>
      </w:r>
      <w:r>
        <w:rPr>
          <w:iCs/>
          <w:i/>
        </w:rPr>
        <w:t xml:space="preserve">Conservation and Adaptation: The Architect's Challenge in Historic Singapore</w:t>
      </w:r>
      <w:r>
        <w:t xml:space="preserve">. National Heritage Board.</w:t>
      </w:r>
    </w:p>
    <w:p>
      <w:pPr>
        <w:pStyle w:val="FirstParagraph"/>
      </w:pPr>
      <w:r>
        <w:t xml:space="preserve">Report published by the National Heritage Board.</w:t>
      </w:r>
    </w:p>
    <w:p>
      <w:pPr>
        <w:pStyle w:val="BodyText"/>
      </w:pPr>
      <w:r>
        <w:rPr>
          <w:bCs/>
          <w:b/>
        </w:rPr>
        <w:t xml:space="preserve">Singapore</w:t>
      </w:r>
      <w:r>
        <w:t xml:space="preserve"> </w:t>
      </w:r>
      <w:r>
        <w:t xml:space="preserve">possesses a rich architectural heritage, from colonial shophouses to post-war public housing. This report explores the specific challenges faced by the</w:t>
      </w:r>
      <w:r>
        <w:t xml:space="preserve"> </w:t>
      </w:r>
      <w:r>
        <w:rPr>
          <w:bCs/>
          <w:b/>
        </w:rPr>
        <w:t xml:space="preserve">architect</w:t>
      </w:r>
      <w:r>
        <w:t xml:space="preserve"> </w:t>
      </w:r>
      <w:r>
        <w:t xml:space="preserve">when working on conservation projects. It discusses the balance between preserving historical integrity and adapting old structures for modern use. The document highlights the technical difficulties of retrofitting heritage buildings with modern services while maintaining their aesthetic character. It is a key resource for architects interested in the adaptive reuse sector, which is a growing and significant part of the architectural practice in Singapore.</w:t>
      </w:r>
    </w:p>
    <w:bookmarkEnd w:id="27"/>
    <w:bookmarkStart w:id="28" w:name="X3565fd16cfe3bf422cadb56282566e9ef2301d0"/>
    <w:p>
      <w:pPr>
        <w:pStyle w:val="Heading3"/>
      </w:pPr>
      <w:r>
        <w:t xml:space="preserve">Wong, T. C. (2018).</w:t>
      </w:r>
      <w:r>
        <w:t xml:space="preserve"> </w:t>
      </w:r>
      <w:r>
        <w:rPr>
          <w:iCs/>
          <w:i/>
        </w:rPr>
        <w:t xml:space="preserve">Designing for a Global City: The Evolution of Singapore's Architectural Identity</w:t>
      </w:r>
      <w:r>
        <w:t xml:space="preserve">. Singapore University of Technology and Design Press.</w:t>
      </w:r>
    </w:p>
    <w:p>
      <w:pPr>
        <w:pStyle w:val="FirstParagraph"/>
      </w:pPr>
      <w:r>
        <w:t xml:space="preserve">Book Publication.</w:t>
      </w:r>
    </w:p>
    <w:p>
      <w:pPr>
        <w:pStyle w:val="BodyText"/>
      </w:pPr>
      <w:r>
        <w:t xml:space="preserve">This book provides a comprehensive historical overview of how the role of the architect has evolved alongside Singapore's development from a colonial port to a global financial hub. It analyzes the shift from functionalist public housing to iconic, landmark skyscrapers. The author critiques the influence of international "starchitects" versus local practitioners, raising important questions about cultural identity. For the contemporary architect in Singapore, this text offers a critical lens through which to view their own practice, encouraging a reflection on how their work contributes to the nation's unique cultural narrative.</w:t>
      </w:r>
    </w:p>
    <w:bookmarkEnd w:id="28"/>
    <w:bookmarkEnd w:id="29"/>
    <w:bookmarkStart w:id="31" w:name="technology-and-future-trends"/>
    <w:p>
      <w:pPr>
        <w:pStyle w:val="Heading2"/>
      </w:pPr>
      <w:r>
        <w:t xml:space="preserve">Technology and Future Trends</w:t>
      </w:r>
    </w:p>
    <w:bookmarkStart w:id="30" w:name="X6be30ff109b538d585486e4a0ffc0e2f7f036fa"/>
    <w:p>
      <w:pPr>
        <w:pStyle w:val="Heading3"/>
      </w:pPr>
      <w:r>
        <w:t xml:space="preserve">Building and Construction Authority (BCA). (2023).</w:t>
      </w:r>
      <w:r>
        <w:t xml:space="preserve"> </w:t>
      </w:r>
      <w:r>
        <w:rPr>
          <w:iCs/>
          <w:i/>
        </w:rPr>
        <w:t xml:space="preserve">Construction Industry Transformation Map: Digitalisation and Innovation</w:t>
      </w:r>
      <w:r>
        <w:t xml:space="preserve">. BCA Singapore.</w:t>
      </w:r>
    </w:p>
    <w:p>
      <w:pPr>
        <w:pStyle w:val="FirstParagraph"/>
      </w:pPr>
      <w:r>
        <w:t xml:space="preserve">Government Strategic Document.</w:t>
      </w:r>
    </w:p>
    <w:p>
      <w:pPr>
        <w:pStyle w:val="BodyText"/>
      </w:pPr>
      <w:r>
        <w:t xml:space="preserve">The future of the</w:t>
      </w:r>
      <w:r>
        <w:t xml:space="preserve"> </w:t>
      </w:r>
      <w:r>
        <w:rPr>
          <w:bCs/>
          <w:b/>
        </w:rPr>
        <w:t xml:space="preserve">architect</w:t>
      </w:r>
      <w:r>
        <w:t xml:space="preserve"> </w:t>
      </w:r>
      <w:r>
        <w:t xml:space="preserve">in</w:t>
      </w:r>
      <w:r>
        <w:t xml:space="preserve"> </w:t>
      </w:r>
      <w:r>
        <w:rPr>
          <w:bCs/>
          <w:b/>
        </w:rPr>
        <w:t xml:space="preserve">Singapore</w:t>
      </w:r>
      <w:r>
        <w:t xml:space="preserve"> </w:t>
      </w:r>
      <w:r>
        <w:t xml:space="preserve">is inextricably linked to technology. This strategic document outlines the government's push for the adoption of Building Information Modeling (BIM), digital twins, and prefabrication. It mandates the use of BIM for all major projects, fundamentally changing how architects design, document, and collaborate. This resource is critical for understanding the technological competencies required of modern architects in Singapore. It highlights the shift towards data-driven design and integrated project delivery, emphasizing that technical proficiency is now as important as design creativity.</w:t>
      </w:r>
    </w:p>
    <w:bookmarkEnd w:id="30"/>
    <w:bookmarkEnd w:id="31"/>
    <w:p>
      <w:pPr>
        <w:pStyle w:val="BodyText"/>
      </w:pPr>
      <w:r>
        <w:t xml:space="preserve">© 2023 Annotated Bibliography on Architectural Practice in Singapore.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Singapore</dc:title>
  <dc:creator/>
  <dc:language>en</dc:language>
  <cp:keywords/>
  <dcterms:created xsi:type="dcterms:W3CDTF">2026-08-08T05:00:49Z</dcterms:created>
  <dcterms:modified xsi:type="dcterms:W3CDTF">2026-08-08T05:00:49Z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