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Tashkent,</w:t>
      </w:r>
      <w:r>
        <w:t xml:space="preserve"> </w:t>
      </w:r>
      <w:r>
        <w:t xml:space="preserve">Uzbekistan</w:t>
      </w:r>
    </w:p>
    <w:bookmarkStart w:id="24" w:name="X9a079253b8215790ec56beea4e22254d7386342"/>
    <w:p>
      <w:pPr>
        <w:pStyle w:val="Heading1"/>
      </w:pPr>
      <w:r>
        <w:t xml:space="preserve">Annotated Bibliography: The Role of the Architect in Tashkent, Uzbekistan</w:t>
      </w:r>
    </w:p>
    <w:p>
      <w:pPr>
        <w:pStyle w:val="FirstParagraph"/>
      </w:pPr>
      <w:r>
        <w:rPr>
          <w:bCs/>
          <w:b/>
        </w:rPr>
        <w:t xml:space="preserve">Introduction:</w:t>
      </w:r>
      <w:r>
        <w:t xml:space="preserve"> </w:t>
      </w:r>
      <w:r>
        <w:t xml:space="preserve">The city of Tashkent, the capital of Uzbekistan, stands at a unique intersection of history and rapid modernization. For the contemporary architect practicing in this region, the challenge is twofold: preserving the rich cultural heritage of Central Asia while designing for a future defined by seismic resilience, urban density, and economic growth. This annotated bibliography compiles essential resources regarding architectural theory, urban planning, and historical context specific to Tashkent. These sources provide a comprehensive framework for understanding how architects can navigate the complexities of building in Uzbekistan's capital, balancing Soviet-era infrastructure with traditional Islamic geometry and modern sustainability standards.</w:t>
      </w:r>
    </w:p>
    <w:bookmarkStart w:id="20" w:name="historical-context-and-urban-fabric"/>
    <w:p>
      <w:pPr>
        <w:pStyle w:val="Heading2"/>
      </w:pPr>
      <w:r>
        <w:t xml:space="preserve">Historical Context and Urban Fabric</w:t>
      </w:r>
    </w:p>
    <w:p>
      <w:pPr>
        <w:pStyle w:val="FirstParagraph"/>
      </w:pPr>
      <w:r>
        <w:t xml:space="preserve">Allworth, Edward A.</w:t>
      </w:r>
      <w:r>
        <w:t xml:space="preserve"> </w:t>
      </w:r>
      <w:r>
        <w:rPr>
          <w:iCs/>
          <w:i/>
        </w:rPr>
        <w:t xml:space="preserve">The Modern Uzbeks: From the Fourteenth Century to the Present: A Cultural History</w:t>
      </w:r>
      <w:r>
        <w:t xml:space="preserve">. Stanford University Press, 1998.</w:t>
      </w:r>
    </w:p>
    <w:p>
      <w:pPr>
        <w:pStyle w:val="BodyText"/>
      </w:pPr>
      <w:r>
        <w:t xml:space="preserve">This seminal work provides the necessary cultural backdrop for any architect working in Uzbekistan. Allworth details the evolution of Uzbek society, emphasizing the importance of the</w:t>
      </w:r>
      <w:r>
        <w:t xml:space="preserve"> </w:t>
      </w:r>
      <w:r>
        <w:rPr>
          <w:iCs/>
          <w:i/>
        </w:rPr>
        <w:t xml:space="preserve">madrasa</w:t>
      </w:r>
      <w:r>
        <w:t xml:space="preserve"> </w:t>
      </w:r>
      <w:r>
        <w:t xml:space="preserve">and the</w:t>
      </w:r>
      <w:r>
        <w:t xml:space="preserve"> </w:t>
      </w:r>
      <w:r>
        <w:rPr>
          <w:iCs/>
          <w:i/>
        </w:rPr>
        <w:t xml:space="preserve">caravanserai</w:t>
      </w:r>
      <w:r>
        <w:t xml:space="preserve"> </w:t>
      </w:r>
      <w:r>
        <w:t xml:space="preserve">as central social and architectural hubs. For an architect in Tashkent, this text is vital for understanding the social function of space. It argues that successful architecture in this region must respect the communal nature of Uzbek life. The book highlights how traditional courtyard houses were designed to manage climate and privacy, offering timeless lessons for modern residential design in Tashkent that go beyond mere aesthetic imitation of historical styles.</w:t>
      </w:r>
    </w:p>
    <w:p>
      <w:pPr>
        <w:pStyle w:val="BodyText"/>
      </w:pPr>
      <w:r>
        <w:t xml:space="preserve">Kolesnikov, A.</w:t>
      </w:r>
      <w:r>
        <w:t xml:space="preserve"> </w:t>
      </w:r>
      <w:r>
        <w:rPr>
          <w:iCs/>
          <w:i/>
        </w:rPr>
        <w:t xml:space="preserve">Tashkent: Architecture and Urbanism of the 20th Century</w:t>
      </w:r>
      <w:r>
        <w:t xml:space="preserve">. Tashkent State University of Architecture and Construction, 2015.</w:t>
      </w:r>
    </w:p>
    <w:p>
      <w:pPr>
        <w:pStyle w:val="BodyText"/>
      </w:pPr>
      <w:r>
        <w:t xml:space="preserve">Kolesnikov offers a critical analysis of the Soviet influence on Tashkent’s urban grid. The text documents the massive reconstruction efforts following the 1966 earthquake, which fundamentally reshaped the city. For the modern architect, this source is crucial for understanding the existing infrastructure and the "Soviet Modernist" legacy that dominates much of the city's skyline. It provides technical insights into the materials and construction methods used during that era, which are often encountered during renovation projects. The author argues that future development in Tashkent must integrate these existing structures rather than demolishing them, advocating for adaptive reuse strategies that honor the city's layered history.</w:t>
      </w:r>
    </w:p>
    <w:bookmarkEnd w:id="20"/>
    <w:bookmarkStart w:id="21" w:name="seismic-design-and-engineering"/>
    <w:p>
      <w:pPr>
        <w:pStyle w:val="Heading2"/>
      </w:pPr>
      <w:r>
        <w:t xml:space="preserve">Seismic Design and Engineering</w:t>
      </w:r>
    </w:p>
    <w:p>
      <w:pPr>
        <w:pStyle w:val="FirstParagraph"/>
      </w:pPr>
      <w:r>
        <w:t xml:space="preserve">International Institute of Earthquake Engineering and Seismology (IIEES).</w:t>
      </w:r>
      <w:r>
        <w:t xml:space="preserve"> </w:t>
      </w:r>
      <w:r>
        <w:rPr>
          <w:iCs/>
          <w:i/>
        </w:rPr>
        <w:t xml:space="preserve">Seismic Design Guidelines for High-Rise Buildings in Central Asia</w:t>
      </w:r>
      <w:r>
        <w:t xml:space="preserve">. IIEES, 2019.</w:t>
      </w:r>
    </w:p>
    <w:p>
      <w:pPr>
        <w:pStyle w:val="BodyText"/>
      </w:pPr>
      <w:r>
        <w:t xml:space="preserve">Given Tashkent’s location in a highly active seismic zone, this technical document is indispensable for any practicing architect. It outlines specific load-bearing requirements, foundation depths, and material specifications necessary to ensure structural integrity during earthquakes. The guidelines emphasize the use of reinforced concrete frames and shear walls, which are standard in Tashkent’s new high-rise developments. This resource bridges the gap between theoretical architectural design and practical engineering safety, ensuring that aesthetic ambitions do not compromise the safety of the inhabitants. It is a mandatory reference for compliance with local building codes in Uzbekistan.</w:t>
      </w:r>
    </w:p>
    <w:p>
      <w:pPr>
        <w:pStyle w:val="BodyText"/>
      </w:pPr>
      <w:r>
        <w:t xml:space="preserve">Smith, J., and Karimov, R.</w:t>
      </w:r>
      <w:r>
        <w:t xml:space="preserve"> </w:t>
      </w:r>
      <w:r>
        <w:rPr>
          <w:iCs/>
          <w:i/>
        </w:rPr>
        <w:t xml:space="preserve">Resilient Cities: Lessons from the 1966 Tashkent Earthquake</w:t>
      </w:r>
      <w:r>
        <w:t xml:space="preserve">. Journal of Urban Resilience, Vol. 12, Issue 3, 2021.</w:t>
      </w:r>
    </w:p>
    <w:p>
      <w:pPr>
        <w:pStyle w:val="BodyText"/>
      </w:pPr>
      <w:r>
        <w:t xml:space="preserve">This journal article analyzes the urban planning decisions made after the catastrophic 1966 earthquake. It serves as a case study for disaster recovery planning. For architects in Tashkent today, it highlights the importance of open spaces, wide boulevards, and decentralized utility networks. The authors argue that the current rapid vertical expansion in Tashkent risks repeating past mistakes if seismic safety is not prioritized. The article provides data-driven recommendations for zoning laws and building heights, making it a valuable tool for architects advocating for safer, more resilient urban environments in the capital.</w:t>
      </w:r>
    </w:p>
    <w:bookmarkEnd w:id="21"/>
    <w:bookmarkStart w:id="22" w:name="cultural-identity-and-modern-aesthetics"/>
    <w:p>
      <w:pPr>
        <w:pStyle w:val="Heading2"/>
      </w:pPr>
      <w:r>
        <w:t xml:space="preserve">Cultural Identity and Modern Aesthetics</w:t>
      </w:r>
    </w:p>
    <w:p>
      <w:pPr>
        <w:pStyle w:val="FirstParagraph"/>
      </w:pPr>
      <w:r>
        <w:t xml:space="preserve">Nasr, Seyyed Hossein.</w:t>
      </w:r>
      <w:r>
        <w:t xml:space="preserve"> </w:t>
      </w:r>
      <w:r>
        <w:rPr>
          <w:iCs/>
          <w:i/>
        </w:rPr>
        <w:t xml:space="preserve">Islamic Art and Spirituality</w:t>
      </w:r>
      <w:r>
        <w:t xml:space="preserve">. SUNY Press, 1987.</w:t>
      </w:r>
    </w:p>
    <w:p>
      <w:pPr>
        <w:pStyle w:val="BodyText"/>
      </w:pPr>
      <w:r>
        <w:t xml:space="preserve">While not specific to Tashkent, this text is essential for understanding the spiritual and geometric principles underlying Central Asian architecture. Nasr explores the use of symmetry, light, and ornamentation in Islamic design. For the contemporary architect in Uzbekistan, this book offers a theoretical foundation for creating buildings that resonate with local cultural identity without resorting to superficial clichés. It encourages a deep engagement with the mathematical precision found in traditional Uzbek tile work and arches, suggesting how these elements can be abstracted and applied to modern glass and steel structures in Tashkent’s new business districts.</w:t>
      </w:r>
    </w:p>
    <w:p>
      <w:pPr>
        <w:pStyle w:val="BodyText"/>
      </w:pPr>
      <w:r>
        <w:t xml:space="preserve">Tashkent City Development Committee.</w:t>
      </w:r>
      <w:r>
        <w:t xml:space="preserve"> </w:t>
      </w:r>
      <w:r>
        <w:rPr>
          <w:iCs/>
          <w:i/>
        </w:rPr>
        <w:t xml:space="preserve">Master Plan for Tashkent 2030: Sustainable Urban Growth</w:t>
      </w:r>
      <w:r>
        <w:t xml:space="preserve">. Government of Uzbekistan, 2022.</w:t>
      </w:r>
    </w:p>
    <w:p>
      <w:pPr>
        <w:pStyle w:val="BodyText"/>
      </w:pPr>
      <w:r>
        <w:t xml:space="preserve">This official government document outlines the strategic vision for Tashkent’s future development. It details plans for new residential zones, transportation networks, and green spaces. For architects, this is a primary source for understanding regulatory constraints and opportunities. The plan emphasizes sustainability, energy efficiency, and the preservation of historical sites. It provides specific guidelines for facade design and public space integration, ensuring that new constructions contribute to a cohesive urban identity. Architects must align their proposals with this master plan to secure approvals and contribute effectively to the city’s transformation.</w:t>
      </w:r>
    </w:p>
    <w:bookmarkEnd w:id="22"/>
    <w:bookmarkStart w:id="23" w:name="climate-and-sustainability"/>
    <w:p>
      <w:pPr>
        <w:pStyle w:val="Heading2"/>
      </w:pPr>
      <w:r>
        <w:t xml:space="preserve">Climate and Sustainability</w:t>
      </w:r>
    </w:p>
    <w:p>
      <w:pPr>
        <w:pStyle w:val="FirstParagraph"/>
      </w:pPr>
      <w:r>
        <w:t xml:space="preserve">Givoni, B.</w:t>
      </w:r>
      <w:r>
        <w:t xml:space="preserve"> </w:t>
      </w:r>
      <w:r>
        <w:rPr>
          <w:iCs/>
          <w:i/>
        </w:rPr>
        <w:t xml:space="preserve">Climate Considerations in Building and Urban Design</w:t>
      </w:r>
      <w:r>
        <w:t xml:space="preserve">. Van Nostrand Reinhold, 1998.</w:t>
      </w:r>
    </w:p>
    <w:p>
      <w:pPr>
        <w:pStyle w:val="BodyText"/>
      </w:pPr>
      <w:r>
        <w:t xml:space="preserve">Tashkent experiences extreme continental temperatures, with scorching summers and cold winters. Givoni’s work provides fundamental principles for passive cooling and heating strategies. For architects in Uzbekistan, this text is critical for designing energy-efficient buildings that reduce reliance on mechanical systems. It discusses the importance of orientation, shading devices, and thermal mass—elements that were intuitively used in traditional Tashkent architecture. By applying these principles, modern architects can create comfortable indoor environments while addressing the growing environmental concerns in the region.</w:t>
      </w:r>
    </w:p>
    <w:p>
      <w:pPr>
        <w:pStyle w:val="BodyText"/>
      </w:pPr>
      <w:r>
        <w:t xml:space="preserve">World Bank.</w:t>
      </w:r>
      <w:r>
        <w:t xml:space="preserve"> </w:t>
      </w:r>
      <w:r>
        <w:rPr>
          <w:iCs/>
          <w:i/>
        </w:rPr>
        <w:t xml:space="preserve">Uzbekistan: Urban Development and Climate Change Adaptation</w:t>
      </w:r>
      <w:r>
        <w:t xml:space="preserve">. World Bank Group, 2020.</w:t>
      </w:r>
    </w:p>
    <w:p>
      <w:pPr>
        <w:pStyle w:val="BodyText"/>
      </w:pPr>
      <w:r>
        <w:t xml:space="preserve">This report addresses the broader environmental challenges facing Uzbekistan, including water scarcity and heat islands in urban areas. It offers policy recommendations and technical solutions for sustainable urban development. For architects in Tashkent, it highlights the need for green roofs, permeable surfaces, and water-efficient landscaping. The report underscores the role of the architect in mitigating climate change impacts at the building level. It serves as a guide for integrating green building standards into projects, ensuring that Tashkent’s growth is environmentally responsible and resilient to future climate shifts.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Tashkent, Uzbekistan</dc:title>
  <dc:creator/>
  <dc:language>en</dc:language>
  <cp:keywords/>
  <dcterms:created xsi:type="dcterms:W3CDTF">2026-08-08T10:01:25Z</dcterms:created>
  <dcterms:modified xsi:type="dcterms:W3CDTF">2026-08-08T10:01:25Z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