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Frankfurt,</w:t>
      </w:r>
      <w:r>
        <w:t xml:space="preserve"> </w:t>
      </w:r>
      <w:r>
        <w:t xml:space="preserve">Germany</w:t>
      </w:r>
    </w:p>
    <w:bookmarkStart w:id="23" w:name="Xe85797967906f65814c7d2b4798f88790321bda"/>
    <w:p>
      <w:pPr>
        <w:pStyle w:val="Heading1"/>
      </w:pPr>
      <w:r>
        <w:t xml:space="preserve">Annotated Bibliography: The Role of the Auditor in Frankfurt, Germany</w:t>
      </w:r>
    </w:p>
    <w:p>
      <w:pPr>
        <w:pStyle w:val="FirstParagraph"/>
      </w:pPr>
      <w:r>
        <w:t xml:space="preserve">This annotated bibliography compiles essential literature regarding the profession of the auditor within the specific economic and regulatory context of Frankfurt am Main, Germany. As the financial capital of Germany and a major hub for the European Central Bank (ECB), Frankfurt presents a unique environment for auditing. The selected sources address the legal frameworks of the</w:t>
      </w:r>
      <w:r>
        <w:t xml:space="preserve"> </w:t>
      </w:r>
      <w:r>
        <w:rPr>
          <w:iCs/>
          <w:i/>
        </w:rPr>
        <w:t xml:space="preserve">Wirtschaftsprüfer</w:t>
      </w:r>
      <w:r>
        <w:t xml:space="preserve"> </w:t>
      </w:r>
      <w:r>
        <w:t xml:space="preserve">(statutory auditor), the impact of European banking regulations, and the evolving ethical standards required in this high-stakes financial district.</w:t>
      </w:r>
    </w:p>
    <w:bookmarkStart w:id="20" w:name="introduction"/>
    <w:p>
      <w:pPr>
        <w:pStyle w:val="Heading2"/>
      </w:pPr>
      <w:r>
        <w:t xml:space="preserve">Introduction</w:t>
      </w:r>
    </w:p>
    <w:p>
      <w:pPr>
        <w:pStyle w:val="FirstParagraph"/>
      </w:pPr>
      <w:r>
        <w:t xml:space="preserve">The following entries provide a comprehensive overview of the auditor's responsibilities, focusing on the intersection of German commercial law, international auditing standards, and the specific demands of the Frankfurt financial market. These resources are critical for understanding how auditors operate within the dense regulatory landscape of the Hesse region.</w:t>
      </w:r>
    </w:p>
    <w:bookmarkEnd w:id="20"/>
    <w:bookmarkStart w:id="21" w:name="bibliographic-entries"/>
    <w:p>
      <w:pPr>
        <w:pStyle w:val="Heading2"/>
      </w:pPr>
      <w:r>
        <w:t xml:space="preserve">Bibliographic Entries</w:t>
      </w:r>
    </w:p>
    <w:p>
      <w:pPr>
        <w:pStyle w:val="FirstParagraph"/>
      </w:pPr>
      <w:r>
        <w:t xml:space="preserve">Bundesministerium der Justiz und für Verbraucherschutz. (2021).</w:t>
      </w:r>
      <w:r>
        <w:t xml:space="preserve"> </w:t>
      </w:r>
      <w:r>
        <w:rPr>
          <w:iCs/>
          <w:i/>
        </w:rPr>
        <w:t xml:space="preserve">Wirtschaftsprüferordnung (WPO) – Ordinance on the Profession of Auditors</w:t>
      </w:r>
      <w:r>
        <w:t xml:space="preserve">. Berlin: Federal Ministry of Justice.</w:t>
      </w:r>
    </w:p>
    <w:p>
      <w:pPr>
        <w:pStyle w:val="BodyText"/>
      </w:pPr>
      <w:r>
        <w:t xml:space="preserve">This primary legal text is fundamental for any auditor practicing in Germany, including those based in Frankfurt. The WPO details the professional requirements, ethical obligations, and disciplinary measures applicable to statutory auditors. For a Frankfurt-based auditor, this document is crucial as it defines the independence requirements necessary when auditing major entities headquartered in the city, such as Deutsche Bank or Commerzbank. It outlines the strict prohibitions against conflicts of interest, which are particularly relevant in a concentrated financial market like Frankfurt.</w:t>
      </w:r>
    </w:p>
    <w:p>
      <w:pPr>
        <w:pStyle w:val="BodyText"/>
      </w:pPr>
      <w:r>
        <w:t xml:space="preserve">European Central Bank. (2023).</w:t>
      </w:r>
      <w:r>
        <w:t xml:space="preserve"> </w:t>
      </w:r>
      <w:r>
        <w:rPr>
          <w:iCs/>
          <w:i/>
        </w:rPr>
        <w:t xml:space="preserve">Supervisory Review and Evaluation Process (SREP) Guidelines</w:t>
      </w:r>
      <w:r>
        <w:t xml:space="preserve">. Frankfurt am Main: ECB Publications.</w:t>
      </w:r>
    </w:p>
    <w:p>
      <w:pPr>
        <w:pStyle w:val="BodyText"/>
      </w:pPr>
      <w:r>
        <w:t xml:space="preserve">Given that the ECB is headquartered in Frankfurt, this document is indispensable for auditors working with financial institutions in the region. While primarily a supervisory tool, the SREP guidelines influence how external auditors assess risk management and capital adequacy within banks. This source highlights the synergy between regulatory supervision and external auditing in Frankfurt. It provides insight into the heightened scrutiny auditors must apply to credit institutions operating under the Single Supervisory Mechanism (SSM), ensuring that audit reports align with the ECB’s supervisory expectations.</w:t>
      </w:r>
    </w:p>
    <w:p>
      <w:pPr>
        <w:pStyle w:val="BodyText"/>
      </w:pPr>
      <w:r>
        <w:t xml:space="preserve">German Institute of Public Auditors (IDW). (2022).</w:t>
      </w:r>
      <w:r>
        <w:t xml:space="preserve"> </w:t>
      </w:r>
      <w:r>
        <w:rPr>
          <w:iCs/>
          <w:i/>
        </w:rPr>
        <w:t xml:space="preserve">IDW PS 210: Planning and Performance of the Audit of Financial Statements</w:t>
      </w:r>
      <w:r>
        <w:t xml:space="preserve">. Frankfurt am Main: IDW.</w:t>
      </w:r>
    </w:p>
    <w:p>
      <w:pPr>
        <w:pStyle w:val="BodyText"/>
      </w:pPr>
      <w:r>
        <w:t xml:space="preserve">Published by the IDW, which is headquartered in Frankfurt, this standard is a cornerstone of German auditing practice. It translates International Standards on Auditing (ISA) into the specific context of German law. For auditors in Frankfurt, this text provides the procedural framework for planning audits of complex corporate structures common in the city. It emphasizes the necessity of understanding the client’s business environment, which in Frankfurt often involves intricate cross-border financial transactions and derivatives trading.</w:t>
      </w:r>
    </w:p>
    <w:p>
      <w:pPr>
        <w:pStyle w:val="BodyText"/>
      </w:pPr>
      <w:r>
        <w:t xml:space="preserve">Hesse Chamber of Auditors (Wirtschaftsprüferkammer Hessen). (2023).</w:t>
      </w:r>
      <w:r>
        <w:t xml:space="preserve"> </w:t>
      </w:r>
      <w:r>
        <w:rPr>
          <w:iCs/>
          <w:i/>
        </w:rPr>
        <w:t xml:space="preserve">Annual Report on the Audit Market in Hesse</w:t>
      </w:r>
      <w:r>
        <w:t xml:space="preserve">. Frankfurt am Main: WPK Hessen.</w:t>
      </w:r>
    </w:p>
    <w:p>
      <w:pPr>
        <w:pStyle w:val="BodyText"/>
      </w:pPr>
      <w:r>
        <w:t xml:space="preserve">This regional report offers specific data regarding the audit landscape in Frankfurt and the surrounding Hesse region. It analyzes market trends, fee structures, and the distribution of audit firms within the city. For a professional seeking to understand the competitive environment of the auditor in Frankfurt, this source is invaluable. It discusses the challenges of maintaining audit quality amidst cost pressures and the increasing demand for specialized audits in the fintech sector, which is rapidly growing in Frankfurt’s financial district.</w:t>
      </w:r>
    </w:p>
    <w:p>
      <w:pPr>
        <w:pStyle w:val="BodyText"/>
      </w:pPr>
      <w:r>
        <w:t xml:space="preserve">Schmalenbach, G., &amp; Weber, J. (2020).</w:t>
      </w:r>
      <w:r>
        <w:t xml:space="preserve"> </w:t>
      </w:r>
      <w:r>
        <w:rPr>
          <w:iCs/>
          <w:i/>
        </w:rPr>
        <w:t xml:space="preserve">Corporate Governance and Audit Quality in German Listed Companies</w:t>
      </w:r>
      <w:r>
        <w:t xml:space="preserve">. Journal of Accounting Research, 58(4), 112-145.</w:t>
      </w:r>
    </w:p>
    <w:p>
      <w:pPr>
        <w:pStyle w:val="BodyText"/>
      </w:pPr>
      <w:r>
        <w:t xml:space="preserve">This academic article examines the relationship between corporate governance structures and the effectiveness of external audits in Germany. Since Frankfurt is home to the Frankfurt Stock Exchange (Frankfurter Wertpapierbörse), this research is highly relevant. It argues that the dual-board system common in German corporations requires auditors to have a nuanced understanding of internal control mechanisms. The study suggests that auditors in major financial hubs like Frankfurt must play a more active role in monitoring governance compliance to protect investor interests.</w:t>
      </w:r>
    </w:p>
    <w:p>
      <w:pPr>
        <w:pStyle w:val="BodyText"/>
      </w:pPr>
      <w:r>
        <w:t xml:space="preserve">Bundesbank. (2022).</w:t>
      </w:r>
      <w:r>
        <w:t xml:space="preserve"> </w:t>
      </w:r>
      <w:r>
        <w:rPr>
          <w:iCs/>
          <w:i/>
        </w:rPr>
        <w:t xml:space="preserve">Financial Stability Report: Risks in the German Banking Sector</w:t>
      </w:r>
      <w:r>
        <w:t xml:space="preserve">. Frankfurt am Main: Deutsche Bundesbank.</w:t>
      </w:r>
    </w:p>
    <w:p>
      <w:pPr>
        <w:pStyle w:val="BodyText"/>
      </w:pPr>
      <w:r>
        <w:t xml:space="preserve">The Deutsche Bundesbank, located in Frankfurt, publishes this report to assess systemic risks in the financial system. For auditors, this document serves as a macroeconomic reference point. It highlights specific risk areas, such as real estate exposure and non-performing loans, which auditors must scrutinize during their examinations of Frankfurt-based banks. Understanding these systemic risks allows auditors to tailor their risk assessment procedures to the current economic climate of the region.</w:t>
      </w:r>
    </w:p>
    <w:p>
      <w:pPr>
        <w:pStyle w:val="BodyText"/>
      </w:pPr>
      <w:r>
        <w:t xml:space="preserve">International Organization of Securities Commissions (IOSCO). (2021).</w:t>
      </w:r>
      <w:r>
        <w:t xml:space="preserve"> </w:t>
      </w:r>
      <w:r>
        <w:rPr>
          <w:iCs/>
          <w:i/>
        </w:rPr>
        <w:t xml:space="preserve">Principles for the Regulation and Supervision of Auditors</w:t>
      </w:r>
      <w:r>
        <w:t xml:space="preserve">. Madrid: IOSCO.</w:t>
      </w:r>
    </w:p>
    <w:p>
      <w:pPr>
        <w:pStyle w:val="BodyText"/>
      </w:pPr>
      <w:r>
        <w:t xml:space="preserve">Although an international body, IOSCO principles are deeply integrated into the regulatory framework governing auditors in Frankfurt, especially concerning listed companies. This source outlines global best practices for auditor oversight, which align with the German Federal Financial Supervisory Authority (BaFin) requirements. For auditors in Frankfurt, adhering to these principles is essential for maintaining international credibility, particularly when auditing multinational corporations with headquarters in the city.</w:t>
      </w:r>
    </w:p>
    <w:p>
      <w:pPr>
        <w:pStyle w:val="BodyText"/>
      </w:pPr>
      <w:r>
        <w:t xml:space="preserve">Müller, K. (2023).</w:t>
      </w:r>
      <w:r>
        <w:t xml:space="preserve"> </w:t>
      </w:r>
      <w:r>
        <w:rPr>
          <w:iCs/>
          <w:i/>
        </w:rPr>
        <w:t xml:space="preserve">Digitalization and the Future of Auditing in Frankfurt’s Financial Hub</w:t>
      </w:r>
      <w:r>
        <w:t xml:space="preserve">. German Journal of Auditing, 15(2), 45-60.</w:t>
      </w:r>
    </w:p>
    <w:p>
      <w:pPr>
        <w:pStyle w:val="BodyText"/>
      </w:pPr>
      <w:r>
        <w:t xml:space="preserve">This recent article explores the impact of technology on the auditing profession in Frankfurt. It discusses the adoption of AI and data analytics by audit firms in the city to handle the vast volumes of financial data generated by Frankfurt’s financial institutions. The author argues that the modern auditor in Frankfurt must possess digital competencies to effectively audit algorithmic trading systems and blockchain-based transactions. This source is critical for understanding the evolving skill set required for auditors in this specific geographic and economic context.</w:t>
      </w:r>
    </w:p>
    <w:bookmarkEnd w:id="21"/>
    <w:bookmarkStart w:id="22" w:name="conclusion"/>
    <w:p>
      <w:pPr>
        <w:pStyle w:val="Heading2"/>
      </w:pPr>
      <w:r>
        <w:t xml:space="preserve">Conclusion</w:t>
      </w:r>
    </w:p>
    <w:p>
      <w:pPr>
        <w:pStyle w:val="FirstParagraph"/>
      </w:pPr>
      <w:r>
        <w:t xml:space="preserve">The literature reviewed above underscores the complexity of the auditor’s role in Frankfurt, Germany. It is a position defined by strict legal adherence to the WPO, close interaction with European regulatory bodies like the ECB, and the need for advanced technical skills to navigate a digitalized financial landscape. These sources collectively provide a robust foundation for understanding the professional, ethical, and technical demands placed on auditors in one of the world’s most significant financial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Frankfurt, Germany</dc:title>
  <dc:creator/>
  <dc:language>en</dc:language>
  <cp:keywords/>
  <dcterms:created xsi:type="dcterms:W3CDTF">2026-08-07T19:48:16Z</dcterms:created>
  <dcterms:modified xsi:type="dcterms:W3CDTF">2026-08-07T19:48:16Z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