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bookmarkStart w:id="20" w:name="annotated-bibliography"/>
    <w:p>
      <w:pPr>
        <w:pStyle w:val="Heading1"/>
      </w:pPr>
      <w:r>
        <w:t xml:space="preserve">Annotated Bibliography</w:t>
      </w:r>
    </w:p>
    <w:p>
      <w:pPr>
        <w:pStyle w:val="FirstParagraph"/>
      </w:pPr>
      <w:r>
        <w:t xml:space="preserve">Topic: The Role, Regulation, and Practice of the Auditor in Germany Munich</w:t>
      </w:r>
    </w:p>
    <w:bookmarkEnd w:id="20"/>
    <w:p>
      <w:pPr>
        <w:pStyle w:val="BodyText"/>
      </w:pPr>
      <w:r>
        <w:t xml:space="preserve">This annotated bibliography provides a curated selection of academic and professional resources regarding the profession of the auditor within the specific context of Munich, Germany. As the financial capital of Bavaria and a hub for major German corporations, Munich presents a unique environment for auditing. The documents selected below explore the intersection of strict German statutory law (HGB), international standards (IFRS), and the local professional culture of the</w:t>
      </w:r>
      <w:r>
        <w:t xml:space="preserve"> </w:t>
      </w:r>
      <w:r>
        <w:rPr>
          <w:iCs/>
          <w:i/>
        </w:rPr>
        <w:t xml:space="preserve">Wirtschaftsprüfer</w:t>
      </w:r>
      <w:r>
        <w:t xml:space="preserve"> </w:t>
      </w:r>
      <w:r>
        <w:t xml:space="preserve">(Certified Public Accountant). These sources are essential for understanding the regulatory landscape, ethical obligations, and technological shifts affecting auditors operating in this region.</w:t>
      </w:r>
    </w:p>
    <w:p>
      <w:pPr>
        <w:pStyle w:val="BodyText"/>
      </w:pPr>
      <w:r>
        <w:t xml:space="preserve"> </w:t>
      </w:r>
      <w:r>
        <w:t xml:space="preserve">Bundesministerium der Justiz und für Verbraucherschutz. (2021).</w:t>
      </w:r>
      <w:r>
        <w:t xml:space="preserve"> </w:t>
      </w:r>
      <w:r>
        <w:rPr>
          <w:iCs/>
          <w:i/>
        </w:rPr>
        <w:t xml:space="preserve">Wirtschaftsprüferordnung (WPO) - Ordinance on Certified Public Accountants</w:t>
      </w:r>
      <w:r>
        <w:t xml:space="preserve">. Berlin: Federal Ministry of Justice.</w:t>
      </w:r>
      <w:r>
        <w:t xml:space="preserve"> </w:t>
      </w:r>
    </w:p>
    <w:p>
      <w:pPr>
        <w:pStyle w:val="BodyText"/>
      </w:pPr>
      <w:r>
        <w:t xml:space="preserve">This primary legal source is the foundational text for any auditor practicing in Germany, including Munich. The</w:t>
      </w:r>
      <w:r>
        <w:t xml:space="preserve"> </w:t>
      </w:r>
      <w:r>
        <w:rPr>
          <w:iCs/>
          <w:i/>
        </w:rPr>
        <w:t xml:space="preserve">Wirtschaftsprüferordnung</w:t>
      </w:r>
      <w:r>
        <w:t xml:space="preserve"> </w:t>
      </w:r>
      <w:r>
        <w:t xml:space="preserve">(WPO) outlines the professional requirements, duties, and disciplinary measures applicable to auditors. For a practitioner in Munich, this ordinance is critical as it defines the scope of the audit mandate and the strict independence requirements mandated by German law. The document details the specific qualifications required to join the local Chamber of Auditors (</w:t>
      </w:r>
      <w:r>
        <w:rPr>
          <w:iCs/>
          <w:i/>
        </w:rPr>
        <w:t xml:space="preserve">Wirtschaftsprüferkammer</w:t>
      </w:r>
      <w:r>
        <w:t xml:space="preserve">) and establishes the legal framework for liability. It is indispensable for understanding the statutory obligations that differentiate the German auditor from their counterparts in other jurisdictions.</w:t>
      </w:r>
    </w:p>
    <w:p>
      <w:pPr>
        <w:pStyle w:val="BodyText"/>
      </w:pPr>
      <w:r>
        <w:t xml:space="preserve"> </w:t>
      </w:r>
      <w:r>
        <w:t xml:space="preserve">Institut der Wirtschaftsprüfer (IDW). (2023).</w:t>
      </w:r>
      <w:r>
        <w:t xml:space="preserve"> </w:t>
      </w:r>
      <w:r>
        <w:rPr>
          <w:iCs/>
          <w:i/>
        </w:rPr>
        <w:t xml:space="preserve">IDW PS 210: Planning the Audit of Financial Statements</w:t>
      </w:r>
      <w:r>
        <w:t xml:space="preserve">. Frankfurt am Main: IDW.</w:t>
      </w:r>
      <w:r>
        <w:t xml:space="preserve"> </w:t>
      </w:r>
    </w:p>
    <w:p>
      <w:pPr>
        <w:pStyle w:val="BodyText"/>
      </w:pPr>
      <w:r>
        <w:t xml:space="preserve">The</w:t>
      </w:r>
      <w:r>
        <w:t xml:space="preserve"> </w:t>
      </w:r>
      <w:r>
        <w:rPr>
          <w:iCs/>
          <w:i/>
        </w:rPr>
        <w:t xml:space="preserve">Institut der Wirtschaftsprüfer</w:t>
      </w:r>
      <w:r>
        <w:t xml:space="preserve"> </w:t>
      </w:r>
      <w:r>
        <w:t xml:space="preserve">(IDW) issues the professional standards that guide the daily work of auditors in Germany. This specific standard, PS 210, is vital for auditors in Munich dealing with the city's dense concentration of Mittelstand (medium-sized enterprises) and large industrial firms. The document provides detailed guidance on risk assessment and audit planning, tailored to the nuances of the German Commercial Code (HGB). It is particularly relevant for Munich-based auditors who must navigate complex corporate structures while adhering to the rigorous quality control measures enforced by the IDW. This source bridges the gap between abstract legal requirements and practical audit execution.</w:t>
      </w:r>
    </w:p>
    <w:p>
      <w:pPr>
        <w:pStyle w:val="BodyText"/>
      </w:pPr>
      <w:r>
        <w:t xml:space="preserve"> </w:t>
      </w:r>
      <w:r>
        <w:t xml:space="preserve">European Commission. (2014).</w:t>
      </w:r>
      <w:r>
        <w:t xml:space="preserve"> </w:t>
      </w:r>
      <w:r>
        <w:rPr>
          <w:iCs/>
          <w:i/>
        </w:rPr>
        <w:t xml:space="preserve">Regulation (EU) No 537/2014 on specific requirements regarding statutory audit of public-interest entities</w:t>
      </w:r>
      <w:r>
        <w:t xml:space="preserve">. Official Journal of the European Union.</w:t>
      </w:r>
      <w:r>
        <w:t xml:space="preserve"> </w:t>
      </w:r>
    </w:p>
    <w:p>
      <w:pPr>
        <w:pStyle w:val="BodyText"/>
      </w:pPr>
      <w:r>
        <w:t xml:space="preserve">Munich is home to numerous public-interest entities (PIEs), including automotive giants and financial institutions. This EU regulation is paramount for auditors working with these major clients. It introduces strict rules on audit firm rotation, non-audit services, and transparency reporting. For the auditor in Munich, this document dictates the boundaries of their engagement with large corporate clients to ensure independence. It highlights the supranational influence on local auditing practices, requiring Munich-based firms to align their internal policies with Brussels' directives to maintain their license to audit major German corporations.</w:t>
      </w:r>
    </w:p>
    <w:p>
      <w:pPr>
        <w:pStyle w:val="BodyText"/>
      </w:pPr>
      <w:r>
        <w:t xml:space="preserve"> </w:t>
      </w:r>
      <w:r>
        <w:t xml:space="preserve">KPMG Germany. (2022).</w:t>
      </w:r>
      <w:r>
        <w:t xml:space="preserve"> </w:t>
      </w:r>
      <w:r>
        <w:rPr>
          <w:iCs/>
          <w:i/>
        </w:rPr>
        <w:t xml:space="preserve">The Future of Audit in Germany: Digitalization and AI in the Munich Market</w:t>
      </w:r>
      <w:r>
        <w:t xml:space="preserve">. Munich: KPMG AG Wirtschaftsprüfungsgesellschaft.</w:t>
      </w:r>
      <w:r>
        <w:t xml:space="preserve"> </w:t>
      </w:r>
    </w:p>
    <w:p>
      <w:pPr>
        <w:pStyle w:val="BodyText"/>
      </w:pPr>
      <w:r>
        <w:t xml:space="preserve">This industry report offers a contemporary perspective on how technology is reshaping the auditor's role in Munich. As a leading tech hub in Europe, Munich is at the forefront of adopting AI and data analytics in financial reporting. The document analyzes how local audit firms are integrating these tools to enhance efficiency and accuracy. It is a valuable resource for understanding the evolving skill set required of the modern auditor in this specific city. The report suggests that the traditional Munich auditor must now possess digital literacy to effectively audit complex, data-driven business models prevalent in the region.</w:t>
      </w:r>
    </w:p>
    <w:p>
      <w:pPr>
        <w:pStyle w:val="BodyText"/>
      </w:pPr>
      <w:r>
        <w:t xml:space="preserve"> </w:t>
      </w:r>
      <w:r>
        <w:t xml:space="preserve">Schmitt, H. (2019).</w:t>
      </w:r>
      <w:r>
        <w:t xml:space="preserve"> </w:t>
      </w:r>
      <w:r>
        <w:rPr>
          <w:iCs/>
          <w:i/>
        </w:rPr>
        <w:t xml:space="preserve">Corporate Governance and the Role of the Auditor in German Listed Companies</w:t>
      </w:r>
      <w:r>
        <w:t xml:space="preserve">. Journal of German Business Studies, 18(2), 45-68.</w:t>
      </w:r>
      <w:r>
        <w:t xml:space="preserve"> </w:t>
      </w:r>
    </w:p>
    <w:p>
      <w:pPr>
        <w:pStyle w:val="BodyText"/>
      </w:pPr>
      <w:r>
        <w:t xml:space="preserve">This academic article explores the symbiotic relationship between corporate governance structures and the external auditor in Germany. It is particularly relevant to Munich, given the presence of the Munich Stock Exchange (</w:t>
      </w:r>
      <w:r>
        <w:rPr>
          <w:iCs/>
          <w:i/>
        </w:rPr>
        <w:t xml:space="preserve">Münchner Börse</w:t>
      </w:r>
      <w:r>
        <w:t xml:space="preserve">). Schmitt argues that the German two-tier board system places a unique reliance on the auditor to verify the integrity of financial reporting to supervisory boards. The paper provides critical insight into the expectations placed on auditors by German stakeholders, emphasizing the cultural expectation of thoroughness and conservatism in financial reporting. It is essential reading for understanding the socio-economic context of the auditor's work in Bavaria.</w:t>
      </w:r>
    </w:p>
    <w:p>
      <w:pPr>
        <w:pStyle w:val="BodyText"/>
      </w:pPr>
      <w:r>
        <w:t xml:space="preserve"> </w:t>
      </w:r>
      <w:r>
        <w:t xml:space="preserve">Bundesverband der Steuerberater und Wirtschaftsprüfer (BStW). (2020).</w:t>
      </w:r>
      <w:r>
        <w:t xml:space="preserve"> </w:t>
      </w:r>
      <w:r>
        <w:rPr>
          <w:iCs/>
          <w:i/>
        </w:rPr>
        <w:t xml:space="preserve">Professional Ethics and Independence: Guidelines for the Bavarian Region</w:t>
      </w:r>
      <w:r>
        <w:t xml:space="preserve">. Munich: BStW.</w:t>
      </w:r>
      <w:r>
        <w:t xml:space="preserve"> </w:t>
      </w:r>
    </w:p>
    <w:p>
      <w:pPr>
        <w:pStyle w:val="BodyText"/>
      </w:pPr>
      <w:r>
        <w:t xml:space="preserve">This regional guideline from the Federal Association of Tax Advisors and Auditors focuses specifically on ethical conduct within Bavaria. It addresses local challenges regarding independence, such as the close-knit nature of business networks in Munich. The document provides practical examples of conflicts of interest that are common in the local market and offers strategies for mitigation. For an auditor operating in Munich, this source is crucial for navigating the delicate balance between maintaining long-term client relationships and adhering to strict ethical standards. It underscores the importance of reputation and integrity in the local professional community.</w:t>
      </w:r>
    </w:p>
    <w:p>
      <w:pPr>
        <w:pStyle w:val="BodyText"/>
      </w:pPr>
      <w:r>
        <w:t xml:space="preserve"> </w:t>
      </w:r>
      <w:r>
        <w:t xml:space="preserve">Deloitte. (2021).</w:t>
      </w:r>
      <w:r>
        <w:t xml:space="preserve"> </w:t>
      </w:r>
      <w:r>
        <w:rPr>
          <w:iCs/>
          <w:i/>
        </w:rPr>
        <w:t xml:space="preserve">Sustainability Reporting and the Auditor's Responsibility in Germany</w:t>
      </w:r>
      <w:r>
        <w:t xml:space="preserve">. Berlin: Deloitte GmbH.</w:t>
      </w:r>
      <w:r>
        <w:t xml:space="preserve"> </w:t>
      </w:r>
    </w:p>
    <w:p>
      <w:pPr>
        <w:pStyle w:val="BodyText"/>
      </w:pPr>
      <w:r>
        <w:t xml:space="preserve">With the implementation of the German Supply Chain Due Diligence Act (</w:t>
      </w:r>
      <w:r>
        <w:rPr>
          <w:iCs/>
          <w:i/>
        </w:rPr>
        <w:t xml:space="preserve">LkSG</w:t>
      </w:r>
      <w:r>
        <w:t xml:space="preserve">), the role of the auditor in Munich has expanded beyond financial figures to include sustainability and compliance. This report details how auditors are increasingly tasked with verifying non-financial disclosures. Given Munich's strong focus on environmental technology and automotive sustainability, this document is highly relevant. It explains the new assurance requirements for ESG (Environmental, Social, and Governance) metrics, illustrating how the German auditor is evolving into a broader assurance provider. This source is key for understanding the future trajectory of the profession in the region.</w:t>
      </w:r>
    </w:p>
    <w:p>
      <w:pPr>
        <w:pStyle w:val="BodyText"/>
      </w:pPr>
      <w:r>
        <w:t xml:space="preserve"> </w:t>
      </w:r>
      <w:r>
        <w:t xml:space="preserve">International Federation of Accountants (IFAC). (2022).</w:t>
      </w:r>
      <w:r>
        <w:t xml:space="preserve"> </w:t>
      </w:r>
      <w:r>
        <w:rPr>
          <w:iCs/>
          <w:i/>
        </w:rPr>
        <w:t xml:space="preserve">Handbook of International Quality Management, Auditing, Review, Other Assurance, and Related Services Pronouncements</w:t>
      </w:r>
      <w:r>
        <w:t xml:space="preserve">. New York: IFAC.</w:t>
      </w:r>
      <w:r>
        <w:t xml:space="preserve"> </w:t>
      </w:r>
    </w:p>
    <w:p>
      <w:pPr>
        <w:pStyle w:val="BodyText"/>
      </w:pPr>
      <w:r>
        <w:t xml:space="preserve">While German law is dominant, many multinational corporations headquartered in Munich prepare financial statements using International Financial Reporting Standards (IFRS). This handbook provides the global benchmark for auditing quality. For the Munich auditor, this document is essential when auditing subsidiaries of global firms or companies listed on international exchanges. It ensures that local audit practices remain compatible with global expectations. The handbook serves as a reference for maintaining high-quality audit standards that satisfy both local German regulators and international investors, reflecting the globalized nature of Munich's economy.</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Germany Munich</dc:title>
  <dc:creator/>
  <dc:language>en</dc:language>
  <cp:keywords/>
  <dcterms:created xsi:type="dcterms:W3CDTF">2026-08-08T01:27:48Z</dcterms:created>
  <dcterms:modified xsi:type="dcterms:W3CDTF">2026-08-08T01:27:48Z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