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The Role of the Auditor in Indonesia Jakarta: Regulatory Frameworks, Corporate Governance, and Digital Transformation</w:t>
      </w:r>
    </w:p>
    <w:bookmarkEnd w:id="20"/>
    <w:p>
      <w:pPr>
        <w:pStyle w:val="BodyText"/>
      </w:pPr>
      <w:r>
        <w:t xml:space="preserve">This annotated bibliography compiles essential literature regarding the profession of the</w:t>
      </w:r>
      <w:r>
        <w:t xml:space="preserve"> </w:t>
      </w:r>
      <w:r>
        <w:rPr>
          <w:bCs/>
          <w:b/>
        </w:rPr>
        <w:t xml:space="preserve">Auditor</w:t>
      </w:r>
      <w:r>
        <w:t xml:space="preserve"> </w:t>
      </w:r>
      <w:r>
        <w:t xml:space="preserve">within the specific jurisdiction of</w:t>
      </w:r>
      <w:r>
        <w:t xml:space="preserve"> </w:t>
      </w:r>
      <w:r>
        <w:rPr>
          <w:bCs/>
          <w:b/>
        </w:rPr>
        <w:t xml:space="preserve">Indonesia Jakarta</w:t>
      </w:r>
      <w:r>
        <w:t xml:space="preserve">. As the capital city and the primary financial hub of the nation, Jakarta serves as the epicenter for the Indonesia Stock Exchange (IDX), major banking institutions, and multinational corporate headquarters. Consequently, the regulatory environment and professional standards governing auditors in Jakarta are distinctively rigorous. The following entries explore the intersection of Indonesian positive law, International Financial Reporting Standards (IFRS), and the evolving technological landscape that defines modern auditing practices in the region.</w:t>
      </w:r>
    </w:p>
    <w:bookmarkStart w:id="23" w:name="X7406ddbe44dbb05ecd912f8e79cb0e67358690f"/>
    <w:p>
      <w:pPr>
        <w:pStyle w:val="Heading2"/>
      </w:pPr>
      <w:r>
        <w:t xml:space="preserve">Regulatory Frameworks and Legal Standards</w:t>
      </w:r>
    </w:p>
    <w:bookmarkStart w:id="21" w:name="the-foundation-of-public-accounting-law"/>
    <w:p>
      <w:pPr>
        <w:pStyle w:val="Heading3"/>
      </w:pPr>
      <w:r>
        <w:t xml:space="preserve">1. The Foundation of Public Accounting Law</w:t>
      </w:r>
    </w:p>
    <w:p>
      <w:pPr>
        <w:pStyle w:val="FirstParagraph"/>
      </w:pPr>
      <w:r>
        <w:t xml:space="preserve">Republic of Indonesia. (2004).</w:t>
      </w:r>
      <w:r>
        <w:t xml:space="preserve"> </w:t>
      </w:r>
      <w:r>
        <w:rPr>
          <w:iCs/>
          <w:i/>
        </w:rPr>
        <w:t xml:space="preserve">Law of the Republic of Indonesia Number 20 of 2004 Concerning Accounting Professions</w:t>
      </w:r>
      <w:r>
        <w:t xml:space="preserve">. Jakarta: State Secretariat of the Republic of Indonesia.</w:t>
      </w:r>
    </w:p>
    <w:p>
      <w:pPr>
        <w:pStyle w:val="BodyText"/>
      </w:pPr>
      <w:r>
        <w:t xml:space="preserve">This primary legislation is the cornerstone for any</w:t>
      </w:r>
      <w:r>
        <w:t xml:space="preserve"> </w:t>
      </w:r>
      <w:r>
        <w:rPr>
          <w:bCs/>
          <w:b/>
        </w:rPr>
        <w:t xml:space="preserve">Auditor</w:t>
      </w:r>
      <w:r>
        <w:t xml:space="preserve"> </w:t>
      </w:r>
      <w:r>
        <w:t xml:space="preserve">practicing in</w:t>
      </w:r>
      <w:r>
        <w:t xml:space="preserve"> </w:t>
      </w:r>
      <w:r>
        <w:rPr>
          <w:bCs/>
          <w:b/>
        </w:rPr>
        <w:t xml:space="preserve">Indonesia Jakarta</w:t>
      </w:r>
      <w:r>
        <w:t xml:space="preserve">. The law establishes the legal basis for the accounting profession, defining the rights, obligations, and responsibilities of public accountants. It mandates the formation of the Indonesian Institute of Accountants (IAI) and the Public Accountant Supervisory Board (PAP). For auditors operating in Jakarta, this law is critical as it outlines the strict licensing requirements and the legal liabilities associated with audit failures. It provides the statutory authority that allows auditors to enforce financial transparency in the capital city's dense corporate sector.</w:t>
      </w:r>
    </w:p>
    <w:bookmarkEnd w:id="21"/>
    <w:bookmarkStart w:id="22" w:name="professional-standards-and-ethics"/>
    <w:p>
      <w:pPr>
        <w:pStyle w:val="Heading3"/>
      </w:pPr>
      <w:r>
        <w:t xml:space="preserve">2. Professional Standards and Ethics</w:t>
      </w:r>
    </w:p>
    <w:p>
      <w:pPr>
        <w:pStyle w:val="FirstParagraph"/>
      </w:pPr>
      <w:r>
        <w:t xml:space="preserve">Indonesian Institute of Accountants (IAI). (2023).</w:t>
      </w:r>
      <w:r>
        <w:t xml:space="preserve"> </w:t>
      </w:r>
      <w:r>
        <w:rPr>
          <w:iCs/>
          <w:i/>
        </w:rPr>
        <w:t xml:space="preserve">Standards of Professional Practice (SPAP): Standards for Auditing and Assurance Services</w:t>
      </w:r>
      <w:r>
        <w:t xml:space="preserve">. Jakarta: IAI.</w:t>
      </w:r>
    </w:p>
    <w:p>
      <w:pPr>
        <w:pStyle w:val="BodyText"/>
      </w:pPr>
      <w:r>
        <w:t xml:space="preserve">Published by the IAI, headquartered in Jakarta, this document details the technical standards that every</w:t>
      </w:r>
      <w:r>
        <w:t xml:space="preserve"> </w:t>
      </w:r>
      <w:r>
        <w:rPr>
          <w:bCs/>
          <w:b/>
        </w:rPr>
        <w:t xml:space="preserve">Auditor</w:t>
      </w:r>
      <w:r>
        <w:t xml:space="preserve"> </w:t>
      </w:r>
      <w:r>
        <w:t xml:space="preserve">must adhere to. It aligns Indonesian practices with International Standards on Auditing (ISA), ensuring that audits conducted in</w:t>
      </w:r>
      <w:r>
        <w:t xml:space="preserve"> </w:t>
      </w:r>
      <w:r>
        <w:rPr>
          <w:bCs/>
          <w:b/>
        </w:rPr>
        <w:t xml:space="preserve">Indonesia Jakarta</w:t>
      </w:r>
      <w:r>
        <w:t xml:space="preserve"> </w:t>
      </w:r>
      <w:r>
        <w:t xml:space="preserve">are globally recognized. The text covers risk assessment, internal control evaluation, and reporting requirements. It is particularly relevant for auditors dealing with the complex financial instruments common in Jakarta's banking and financial services sector, providing a roadmap for maintaining ethical integrity and professional skepticism.</w:t>
      </w:r>
    </w:p>
    <w:bookmarkEnd w:id="22"/>
    <w:bookmarkEnd w:id="23"/>
    <w:bookmarkStart w:id="26" w:name="Xc9e362bba050542b184ce018ac7db7b97445d7f"/>
    <w:p>
      <w:pPr>
        <w:pStyle w:val="Heading2"/>
      </w:pPr>
      <w:r>
        <w:t xml:space="preserve">Corporate Governance and Market Integrity</w:t>
      </w:r>
    </w:p>
    <w:bookmarkStart w:id="24" w:name="Xf8c337af225e90589d6664f5a5bf35cea20480e"/>
    <w:p>
      <w:pPr>
        <w:pStyle w:val="Heading3"/>
      </w:pPr>
      <w:r>
        <w:t xml:space="preserve">3. The Role of Auditors in the Capital Market</w:t>
      </w:r>
    </w:p>
    <w:p>
      <w:pPr>
        <w:pStyle w:val="FirstParagraph"/>
      </w:pPr>
      <w:r>
        <w:t xml:space="preserve">Capital Market and Financial Institutions Supervisory Agency (OJK). (2022).</w:t>
      </w:r>
      <w:r>
        <w:t xml:space="preserve"> </w:t>
      </w:r>
      <w:r>
        <w:rPr>
          <w:iCs/>
          <w:i/>
        </w:rPr>
        <w:t xml:space="preserve">Regulation on the Appointment and Duties of Public Accountants for Public Companies</w:t>
      </w:r>
      <w:r>
        <w:t xml:space="preserve">. Jakarta: OJK.</w:t>
      </w:r>
    </w:p>
    <w:p>
      <w:pPr>
        <w:pStyle w:val="BodyText"/>
      </w:pPr>
      <w:r>
        <w:t xml:space="preserve">The OJK, based in Jakarta, regulates the capital market and financial institutions in Indonesia. This regulation specifically addresses the appointment of auditors for companies listed on the Indonesia Stock Exchange (IDX). It emphasizes the auditor's role in safeguarding investor interests and ensuring the accuracy of financial disclosures. For an</w:t>
      </w:r>
      <w:r>
        <w:t xml:space="preserve"> </w:t>
      </w:r>
      <w:r>
        <w:rPr>
          <w:bCs/>
          <w:b/>
        </w:rPr>
        <w:t xml:space="preserve">Auditor</w:t>
      </w:r>
      <w:r>
        <w:t xml:space="preserve"> </w:t>
      </w:r>
      <w:r>
        <w:t xml:space="preserve">in</w:t>
      </w:r>
      <w:r>
        <w:t xml:space="preserve"> </w:t>
      </w:r>
      <w:r>
        <w:rPr>
          <w:bCs/>
          <w:b/>
        </w:rPr>
        <w:t xml:space="preserve">Indonesia Jakarta</w:t>
      </w:r>
      <w:r>
        <w:t xml:space="preserve">, this document is vital for understanding the compliance requirements for IPOs, annual reporting, and the interaction with the supervisory board. It highlights the heightened scrutiny auditors face when auditing entities that influence the national economy.</w:t>
      </w:r>
    </w:p>
    <w:bookmarkEnd w:id="24"/>
    <w:bookmarkStart w:id="25" w:name="corporate-governance-best-practices"/>
    <w:p>
      <w:pPr>
        <w:pStyle w:val="Heading3"/>
      </w:pPr>
      <w:r>
        <w:t xml:space="preserve">4. Corporate Governance Best Practices</w:t>
      </w:r>
    </w:p>
    <w:p>
      <w:pPr>
        <w:pStyle w:val="FirstParagraph"/>
      </w:pPr>
      <w:r>
        <w:t xml:space="preserve">Indonesian Institute of Directors (INDODIR). (2021).</w:t>
      </w:r>
      <w:r>
        <w:t xml:space="preserve"> </w:t>
      </w:r>
      <w:r>
        <w:rPr>
          <w:iCs/>
          <w:i/>
        </w:rPr>
        <w:t xml:space="preserve">Corporate Governance Guidelines for Listed Companies in Indonesia</w:t>
      </w:r>
      <w:r>
        <w:t xml:space="preserve">. Jakarta: INDODIR.</w:t>
      </w:r>
    </w:p>
    <w:p>
      <w:pPr>
        <w:pStyle w:val="BodyText"/>
      </w:pPr>
      <w:r>
        <w:t xml:space="preserve">While not a law, this guideline is a benchmark for corporate governance in Jakarta. It outlines the expected relationship between the board of directors, the board of commissioners, and the external</w:t>
      </w:r>
      <w:r>
        <w:t xml:space="preserve"> </w:t>
      </w:r>
      <w:r>
        <w:rPr>
          <w:bCs/>
          <w:b/>
        </w:rPr>
        <w:t xml:space="preserve">Auditor</w:t>
      </w:r>
      <w:r>
        <w:t xml:space="preserve">. The document stresses the importance of auditor independence and the auditor's function in monitoring internal controls. In the context of</w:t>
      </w:r>
      <w:r>
        <w:t xml:space="preserve"> </w:t>
      </w:r>
      <w:r>
        <w:rPr>
          <w:bCs/>
          <w:b/>
        </w:rPr>
        <w:t xml:space="preserve">Indonesia Jakarta</w:t>
      </w:r>
      <w:r>
        <w:t xml:space="preserve">, where family-owned conglomerates and state-owned enterprises (SOEs) are prevalent, this text provides insight into how auditors navigate complex ownership structures to ensure fair and transparent financial reporting.</w:t>
      </w:r>
    </w:p>
    <w:bookmarkEnd w:id="25"/>
    <w:bookmarkEnd w:id="26"/>
    <w:bookmarkStart w:id="29" w:name="X287ddea0d9e76207131ad56342bbcbe77a0f250"/>
    <w:p>
      <w:pPr>
        <w:pStyle w:val="Heading2"/>
      </w:pPr>
      <w:r>
        <w:t xml:space="preserve">Technological Advancements and Modern Auditing</w:t>
      </w:r>
    </w:p>
    <w:bookmarkStart w:id="27" w:name="digital-transformation-in-auditing"/>
    <w:p>
      <w:pPr>
        <w:pStyle w:val="Heading3"/>
      </w:pPr>
      <w:r>
        <w:t xml:space="preserve">5. Digital Transformation in Auditing</w:t>
      </w:r>
    </w:p>
    <w:p>
      <w:pPr>
        <w:pStyle w:val="FirstParagraph"/>
      </w:pPr>
      <w:r>
        <w:t xml:space="preserve">KPMG Indonesia. (2023).</w:t>
      </w:r>
      <w:r>
        <w:t xml:space="preserve"> </w:t>
      </w:r>
      <w:r>
        <w:rPr>
          <w:iCs/>
          <w:i/>
        </w:rPr>
        <w:t xml:space="preserve">The Future of Audit: Embracing Technology in the Indonesian Market</w:t>
      </w:r>
      <w:r>
        <w:t xml:space="preserve">. Jakarta: KPMG.</w:t>
      </w:r>
    </w:p>
    <w:p>
      <w:pPr>
        <w:pStyle w:val="BodyText"/>
      </w:pPr>
      <w:r>
        <w:t xml:space="preserve">This industry report focuses on the rapid adoption of technology by audit firms in</w:t>
      </w:r>
      <w:r>
        <w:t xml:space="preserve"> </w:t>
      </w:r>
      <w:r>
        <w:rPr>
          <w:bCs/>
          <w:b/>
        </w:rPr>
        <w:t xml:space="preserve">Indonesia Jakarta</w:t>
      </w:r>
      <w:r>
        <w:t xml:space="preserve">. It discusses the use of data analytics, artificial intelligence, and blockchain in auditing processes. As Jakarta becomes a smart city and its businesses digitize, the traditional role of the</w:t>
      </w:r>
      <w:r>
        <w:t xml:space="preserve"> </w:t>
      </w:r>
      <w:r>
        <w:rPr>
          <w:bCs/>
          <w:b/>
        </w:rPr>
        <w:t xml:space="preserve">Auditor</w:t>
      </w:r>
      <w:r>
        <w:t xml:space="preserve"> </w:t>
      </w:r>
      <w:r>
        <w:t xml:space="preserve">is evolving. This source is essential for understanding how auditors in the capital are moving from sample-based testing to full-population analysis, thereby increasing the reliability of financial statements for stakeholders in the region.</w:t>
      </w:r>
    </w:p>
    <w:bookmarkEnd w:id="27"/>
    <w:bookmarkStart w:id="28" w:name="cybersecurity-and-audit-risks"/>
    <w:p>
      <w:pPr>
        <w:pStyle w:val="Heading3"/>
      </w:pPr>
      <w:r>
        <w:t xml:space="preserve">6. Cybersecurity and Audit Risks</w:t>
      </w:r>
    </w:p>
    <w:p>
      <w:pPr>
        <w:pStyle w:val="FirstParagraph"/>
      </w:pPr>
      <w:r>
        <w:t xml:space="preserve">Deloitte Indonesia. (2022).</w:t>
      </w:r>
      <w:r>
        <w:t xml:space="preserve"> </w:t>
      </w:r>
      <w:r>
        <w:rPr>
          <w:iCs/>
          <w:i/>
        </w:rPr>
        <w:t xml:space="preserve">Cyber Risk and the Auditor's Responsibility in Indonesia</w:t>
      </w:r>
      <w:r>
        <w:t xml:space="preserve">. Jakarta: Deloitte.</w:t>
      </w:r>
    </w:p>
    <w:p>
      <w:pPr>
        <w:pStyle w:val="BodyText"/>
      </w:pPr>
      <w:r>
        <w:t xml:space="preserve">With Jakarta being the hub of Indonesia's digital economy, cybersecurity risks are paramount. This publication explores the auditor's responsibility in assessing IT general controls and cybersecurity frameworks within client organizations. It argues that an</w:t>
      </w:r>
      <w:r>
        <w:t xml:space="preserve"> </w:t>
      </w:r>
      <w:r>
        <w:rPr>
          <w:bCs/>
          <w:b/>
        </w:rPr>
        <w:t xml:space="preserve">Auditor</w:t>
      </w:r>
      <w:r>
        <w:t xml:space="preserve"> </w:t>
      </w:r>
      <w:r>
        <w:t xml:space="preserve">in</w:t>
      </w:r>
      <w:r>
        <w:t xml:space="preserve"> </w:t>
      </w:r>
      <w:r>
        <w:rPr>
          <w:bCs/>
          <w:b/>
        </w:rPr>
        <w:t xml:space="preserve">Indonesia Jakarta</w:t>
      </w:r>
      <w:r>
        <w:t xml:space="preserve"> </w:t>
      </w:r>
      <w:r>
        <w:t xml:space="preserve">must now possess technical expertise to evaluate digital risks that could materially affect financial reporting. The document serves as a guide for integrating IT audit skills into traditional financial audits, reflecting the modern demands of the profession in the capital.</w:t>
      </w:r>
    </w:p>
    <w:bookmarkEnd w:id="28"/>
    <w:bookmarkEnd w:id="29"/>
    <w:bookmarkStart w:id="30" w:name="conclusion"/>
    <w:p>
      <w:pPr>
        <w:pStyle w:val="Heading2"/>
      </w:pPr>
      <w:r>
        <w:t xml:space="preserve">Conclusion</w:t>
      </w:r>
    </w:p>
    <w:p>
      <w:pPr>
        <w:pStyle w:val="FirstParagraph"/>
      </w:pPr>
      <w:r>
        <w:t xml:space="preserve">The literature reviewed above demonstrates that the role of the</w:t>
      </w:r>
      <w:r>
        <w:t xml:space="preserve"> </w:t>
      </w:r>
      <w:r>
        <w:rPr>
          <w:bCs/>
          <w:b/>
        </w:rPr>
        <w:t xml:space="preserve">Auditor</w:t>
      </w:r>
      <w:r>
        <w:t xml:space="preserve"> </w:t>
      </w:r>
      <w:r>
        <w:t xml:space="preserve">in</w:t>
      </w:r>
      <w:r>
        <w:t xml:space="preserve"> </w:t>
      </w:r>
      <w:r>
        <w:rPr>
          <w:bCs/>
          <w:b/>
        </w:rPr>
        <w:t xml:space="preserve">Indonesia Jakarta</w:t>
      </w:r>
      <w:r>
        <w:t xml:space="preserve"> </w:t>
      </w:r>
      <w:r>
        <w:t xml:space="preserve">is multifaceted, governed by strict national laws, international standards, and rapid technological change. From the foundational Law No. 20 of 2004 to the latest guidelines on digital auditing, these sources provide a comprehensive understanding of the professional landscape. For any practitioner or researcher, these documents are indispensable for navigating the complexities of financial assurance in Indonesia's capital city.</w:t>
      </w:r>
    </w:p>
    <w:p>
      <w:pPr>
        <w:pStyle w:val="BodyText"/>
      </w:pPr>
      <w:r>
        <w:t xml:space="preserve">© 2023 Annotated Bibliography on Auditing in Indonesia Jakarta.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Indonesia Jakarta</dc:title>
  <dc:creator/>
  <dc:language>en</dc:language>
  <cp:keywords/>
  <dcterms:created xsi:type="dcterms:W3CDTF">2026-08-08T07:16:55Z</dcterms:created>
  <dcterms:modified xsi:type="dcterms:W3CDTF">2026-08-08T07:16:55Z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