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3" w:name="X6d50b854336a49bf63ac6c43b38faa65dcfa741"/>
    <w:p>
      <w:pPr>
        <w:pStyle w:val="Heading1"/>
      </w:pPr>
      <w:r>
        <w:t xml:space="preserve">Annotated Bibliography: The Role of the Auditor in Malaysia Kuala Lumpur</w:t>
      </w:r>
    </w:p>
    <w:p>
      <w:pPr>
        <w:pStyle w:val="FirstParagraph"/>
      </w:pPr>
      <w:r>
        <w:t xml:space="preserve">This annotated bibliography compiles essential literature regarding the professional responsibilities, regulatory frameworks, and ethical standards governing auditors operating within the financial hub of Kuala Lumpur, Malaysia. The selected sources address the unique challenges faced by auditors in this jurisdiction, including the implementation of International Financial Reporting Standards (IFRS), the enforcement of the Malaysian Anti-Corruption Commission (MACC) Act, and the specific requirements of the Securities Commission Malaysia.</w:t>
      </w:r>
    </w:p>
    <w:bookmarkStart w:id="20" w:name="introduction"/>
    <w:p>
      <w:pPr>
        <w:pStyle w:val="Heading2"/>
      </w:pPr>
      <w:r>
        <w:t xml:space="preserve">Introduction</w:t>
      </w:r>
    </w:p>
    <w:p>
      <w:pPr>
        <w:pStyle w:val="FirstParagraph"/>
      </w:pPr>
      <w:r>
        <w:t xml:space="preserve">Kuala Lumpur serves as the economic and financial center of Malaysia. Consequently, the role of the auditor in this city is critical for maintaining investor confidence and ensuring the integrity of the capital markets. The following entries provide a comprehensive overview of the legal and professional landscape that defines auditing practices in this region.</w:t>
      </w:r>
    </w:p>
    <w:bookmarkEnd w:id="20"/>
    <w:bookmarkStart w:id="21" w:name="references"/>
    <w:p>
      <w:pPr>
        <w:pStyle w:val="Heading2"/>
      </w:pPr>
      <w:r>
        <w:t xml:space="preserve">References</w:t>
      </w:r>
    </w:p>
    <w:p>
      <w:pPr>
        <w:pStyle w:val="FirstParagraph"/>
      </w:pPr>
      <w:r>
        <w:t xml:space="preserve">Public Accountants and Auditors Act 1967 (Act 165). (2023). Kuala Lumpur: Ministry of Finance Malaysia.</w:t>
      </w:r>
    </w:p>
    <w:p>
      <w:pPr>
        <w:pStyle w:val="BodyText"/>
      </w:pPr>
      <w:r>
        <w:t xml:space="preserve">This primary legislation is the cornerstone of the auditing profession in Malaysia. It establishes the Board of Public Accountants and Auditors (BPAA), which regulates the practice of public accountancy and auditing in Kuala Lumpur and the rest of the nation. The Act outlines the requirements for registration, the code of ethics, and the disciplinary procedures for auditors. For any auditor practicing in Kuala Lumpur, this document is mandatory reading as it defines the legal scope of their authority and liability. It specifically addresses the independence requirements necessary for statutory audits of companies listed on Bursa Malaysia, ensuring that auditors in the capital city adhere to strict statutory obligations.</w:t>
      </w:r>
    </w:p>
    <w:p>
      <w:pPr>
        <w:pStyle w:val="BodyText"/>
      </w:pPr>
      <w:r>
        <w:t xml:space="preserve">Malaysian Institute of Accountants (MIA). (2022). Malaysian Auditing Standards (MAS). Kuala Lumpur: MIA Publications.</w:t>
      </w:r>
    </w:p>
    <w:p>
      <w:pPr>
        <w:pStyle w:val="BodyText"/>
      </w:pPr>
      <w:r>
        <w:t xml:space="preserve">The Malaysian Auditing Standards (MAS) are the technical guidelines that auditors in Kuala Lumpur must follow when conducting financial statement audits. These standards are substantially aligned with the International Standards on Auditing (ISA) issued by the International Auditing and Assurance Standards Board (IAASB). This collection of standards provides detailed guidance on risk assessment, internal controls, and evidence gathering. For auditors working in the high-stakes environment of Kuala Lumpur's financial district, adherence to MAS is not optional; it is a professional requirement. This source is vital for understanding the procedural expectations for auditing complex financial instruments common in Malaysian multinational corporations.</w:t>
      </w:r>
    </w:p>
    <w:p>
      <w:pPr>
        <w:pStyle w:val="BodyText"/>
      </w:pPr>
      <w:r>
        <w:t xml:space="preserve">Securities Commission Malaysia. (2021). Corporate Governance Code. Kuala Lumpur: Securities Commission Malaysia.</w:t>
      </w:r>
    </w:p>
    <w:p>
      <w:pPr>
        <w:pStyle w:val="BodyText"/>
      </w:pPr>
      <w:r>
        <w:t xml:space="preserve">This document outlines the principles and provisions for good corporate governance for listed issuers in Malaysia. It places significant emphasis on the role of the external auditor and the audit committee. For auditors in Kuala Lumpur, where the majority of listed companies are headquartered, this code is essential. It details the auditor's responsibility in reporting to the audit committee and the board of directors. The Code reinforces the need for auditor independence and transparency, directly impacting how audit engagements are structured and reported within the Kuala Lumpur Stock Exchange ecosystem.</w:t>
      </w:r>
    </w:p>
    <w:p>
      <w:pPr>
        <w:pStyle w:val="BodyText"/>
      </w:pPr>
      <w:r>
        <w:t xml:space="preserve">Companies Act 2016. (2017). Kuala Lumpur: Ministry of Law and Justice Malaysia.</w:t>
      </w:r>
    </w:p>
    <w:p>
      <w:pPr>
        <w:pStyle w:val="BodyText"/>
      </w:pPr>
      <w:r>
        <w:t xml:space="preserve">The Companies Act 2016 modernized the corporate legal framework in Malaysia. It contains specific provisions regarding the appointment, remuneration, and removal of auditors. This Act is crucial for auditors in Kuala Lumpur as it clarifies the legal relationship between the auditor and the company being audited. It also introduces stricter penalties for non-compliance and fraudulent financial reporting. Understanding this Act is fundamental for auditors to navigate the legal landscape of corporate Malaysia and to fulfill their statutory duties effectively.</w:t>
      </w:r>
    </w:p>
    <w:p>
      <w:pPr>
        <w:pStyle w:val="BodyText"/>
      </w:pPr>
      <w:r>
        <w:t xml:space="preserve">Malaysian Anti-Corruption Commission (MACC). (2020). Anti-Corruption Plan Guidelines. Kuala Lumpur: MACC Headquarters.</w:t>
      </w:r>
    </w:p>
    <w:p>
      <w:pPr>
        <w:pStyle w:val="BodyText"/>
      </w:pPr>
      <w:r>
        <w:t xml:space="preserve">With the implementation of Section 17A of the MACC Act 2009, commercial organizations in Malaysia are required to implement adequate procedures to prevent bribery. This has significantly expanded the role of the auditor in Kuala Lumpur. Auditors are now expected to assess the effectiveness of anti-corruption controls within their clients' organizations. This source provides the framework for what constitutes "adequate procedures." For auditors in the capital city, where large conglomerates operate, integrating anti-corruption assurance into their audit scope is now a critical component of their professional responsibility.</w:t>
      </w:r>
    </w:p>
    <w:p>
      <w:pPr>
        <w:pStyle w:val="BodyText"/>
      </w:pPr>
      <w:r>
        <w:t xml:space="preserve">Bank Negara Malaysia. (2019). Guidelines on Internal Audit Function. Kuala Lumpur: Bank Negara Malaysia.</w:t>
      </w:r>
    </w:p>
    <w:p>
      <w:pPr>
        <w:pStyle w:val="BodyText"/>
      </w:pPr>
      <w:r>
        <w:t xml:space="preserve">While primarily focused on internal audit, this document is highly relevant for external auditors in Kuala Lumpur who audit financial institutions. Bank Negara Malaysia (BNM) is the central bank of Malaysia, and its guidelines set the standard for risk management and internal controls in the banking sector. External auditors must understand these guidelines to effectively evaluate the internal audit function of their banking clients. This source highlights the regulatory expectations for financial stability and integrity in Malaysia's banking sector, which is centered in Kuala Lumpur.</w:t>
      </w:r>
    </w:p>
    <w:p>
      <w:pPr>
        <w:pStyle w:val="BodyText"/>
      </w:pPr>
      <w:r>
        <w:t xml:space="preserve">International Ethics Standards Board for Accountants (IESBA). (2023). Code of Ethics for Professional Accountants. Kuala Lumpur: Adopted by MIA.</w:t>
      </w:r>
    </w:p>
    <w:p>
      <w:pPr>
        <w:pStyle w:val="BodyText"/>
      </w:pPr>
      <w:r>
        <w:t xml:space="preserve">The MIA has adopted the IESBA Code of Ethics, which sets out the fundamental principles of integrity, objectivity, professional competence, confidentiality, and professional behavior. For auditors in Kuala Lumpur, this code is the ethical compass that guides their professional conduct. It provides specific guidance on dealing with threats to independence, such as self-interest, self-review, and familiarity threats. Given the close-knit nature of the business community in Kuala Lumpur, this document is particularly important for auditors to navigate potential conflicts of interest and maintain public trust.</w:t>
      </w:r>
    </w:p>
    <w:p>
      <w:pPr>
        <w:pStyle w:val="BodyText"/>
      </w:pPr>
      <w:r>
        <w:t xml:space="preserve">KPMG Malaysia. (2022). Audit and Assurance Outlook: Navigating the New Normal in Malaysia. Kuala Lumpur: KPMG Professional Services.</w:t>
      </w:r>
    </w:p>
    <w:p>
      <w:pPr>
        <w:pStyle w:val="BodyText"/>
      </w:pPr>
      <w:r>
        <w:t xml:space="preserve">This industry report provides practical insights into the current challenges and trends facing auditors in Malaysia. It discusses the impact of digitalization, remote auditing, and the increasing complexity of financial reporting. For auditors in Kuala Lumpur, this source offers a contemporary perspective on how to adapt their audit methodologies to the evolving business environment. It highlights the importance of technology and data analytics in modern auditing practices, which is increasingly relevant for auditors dealing with large-scale corporate clients in the capital city.</w:t>
      </w:r>
    </w:p>
    <w:bookmarkEnd w:id="21"/>
    <w:bookmarkStart w:id="22" w:name="conclusion"/>
    <w:p>
      <w:pPr>
        <w:pStyle w:val="Heading2"/>
      </w:pPr>
      <w:r>
        <w:t xml:space="preserve">Conclusion</w:t>
      </w:r>
    </w:p>
    <w:p>
      <w:pPr>
        <w:pStyle w:val="FirstParagraph"/>
      </w:pPr>
      <w:r>
        <w:t xml:space="preserve">The role of the auditor in Kuala Lumpur is defined by a robust framework of laws, standards, and ethical guidelines. The sources compiled in this annotated bibliography provide a comprehensive foundation for understanding the professional obligations of auditors in this jurisdiction. From the statutory requirements of the Public Accountants and Auditors Act to the ethical mandates of the MIA Code of Ethics, auditors in Kuala Lumpur must navigate a complex landscape to ensure the integrity of Malaysia's financial markets.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Malaysia Kuala Lumpur</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