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Auditor</w:t>
      </w:r>
      <w:r>
        <w:t xml:space="preserve"> </w:t>
      </w:r>
      <w:r>
        <w:t xml:space="preserve">in</w:t>
      </w:r>
      <w:r>
        <w:t xml:space="preserve"> </w:t>
      </w:r>
      <w:r>
        <w:t xml:space="preserve">Amsterdam,</w:t>
      </w:r>
      <w:r>
        <w:t xml:space="preserve"> </w:t>
      </w:r>
      <w:r>
        <w:t xml:space="preserve">Netherlands</w:t>
      </w:r>
    </w:p>
    <w:bookmarkStart w:id="20" w:name="X3a396f6aeb08a2234991642447da998299ea5e3"/>
    <w:p>
      <w:pPr>
        <w:pStyle w:val="Heading1"/>
      </w:pPr>
      <w:r>
        <w:t xml:space="preserve">Annotated Bibliography: The Auditor in Amsterdam, Netherlands</w:t>
      </w:r>
    </w:p>
    <w:p>
      <w:pPr>
        <w:pStyle w:val="FirstParagraph"/>
      </w:pPr>
      <w:r>
        <w:t xml:space="preserve">A comprehensive review of regulatory frameworks, professional standards, and market dynamics governing the auditing profession in the Dutch capital.</w:t>
      </w:r>
    </w:p>
    <w:bookmarkEnd w:id="20"/>
    <w:p>
      <w:pPr>
        <w:pStyle w:val="BodyText"/>
      </w:pPr>
      <w:r>
        <w:t xml:space="preserve">The role of the</w:t>
      </w:r>
      <w:r>
        <w:t xml:space="preserve"> </w:t>
      </w:r>
      <w:r>
        <w:rPr>
          <w:bCs/>
          <w:b/>
        </w:rPr>
        <w:t xml:space="preserve">Auditor</w:t>
      </w:r>
      <w:r>
        <w:t xml:space="preserve"> </w:t>
      </w:r>
      <w:r>
        <w:t xml:space="preserve">in the</w:t>
      </w:r>
      <w:r>
        <w:t xml:space="preserve"> </w:t>
      </w:r>
      <w:r>
        <w:rPr>
          <w:bCs/>
          <w:b/>
        </w:rPr>
        <w:t xml:space="preserve">Netherlands</w:t>
      </w:r>
      <w:r>
        <w:t xml:space="preserve">, particularly within the financial hub of</w:t>
      </w:r>
      <w:r>
        <w:t xml:space="preserve"> </w:t>
      </w:r>
      <w:r>
        <w:rPr>
          <w:bCs/>
          <w:b/>
        </w:rPr>
        <w:t xml:space="preserve">Amsterdam</w:t>
      </w:r>
      <w:r>
        <w:t xml:space="preserve">, is defined by a rigorous adherence to European Union directives and strict national legislation. This annotated bibliography compiles essential resources that elucidate the legal obligations, ethical standards, and practical challenges faced by auditors operating in this jurisdiction. The selected texts cover the Dutch Corporate Governance Code, the role of the Autoriteit Financiële Markten (AFM), and the specific implications of the European Single Audit File (ESAF) on local practices.</w:t>
      </w:r>
    </w:p>
    <w:p>
      <w:pPr>
        <w:pStyle w:val="BodyText"/>
      </w:pPr>
      <w:r>
        <w:t xml:space="preserve"> </w:t>
      </w:r>
      <w:r>
        <w:t xml:space="preserve">Autoriteit Financiële Markten (AFM). (2023).</w:t>
      </w:r>
      <w:r>
        <w:t xml:space="preserve"> </w:t>
      </w:r>
      <w:r>
        <w:rPr>
          <w:iCs/>
          <w:i/>
        </w:rPr>
        <w:t xml:space="preserve">Supervision of Auditors: Annual Report and Regulatory Framework</w:t>
      </w:r>
      <w:r>
        <w:t xml:space="preserve">. The Hague: AFM.</w:t>
      </w:r>
      <w:r>
        <w:t xml:space="preserve"> </w:t>
      </w:r>
    </w:p>
    <w:p>
      <w:pPr>
        <w:pStyle w:val="BodyText"/>
      </w:pPr>
      <w:r>
        <w:t xml:space="preserve">This document is pivotal for understanding the regulatory environment in the</w:t>
      </w:r>
      <w:r>
        <w:t xml:space="preserve"> </w:t>
      </w:r>
      <w:r>
        <w:rPr>
          <w:bCs/>
          <w:b/>
        </w:rPr>
        <w:t xml:space="preserve">Netherlands</w:t>
      </w:r>
      <w:r>
        <w:t xml:space="preserve">. The AFM serves as the primary supervisory body for the auditing profession. This report details the specific inspection methodologies used to evaluate audit firms operating in major Dutch cities, including</w:t>
      </w:r>
      <w:r>
        <w:t xml:space="preserve"> </w:t>
      </w:r>
      <w:r>
        <w:rPr>
          <w:bCs/>
          <w:b/>
        </w:rPr>
        <w:t xml:space="preserve">Amsterdam</w:t>
      </w:r>
      <w:r>
        <w:t xml:space="preserve">. It highlights the AFM's focus on audit quality, independence, and the implementation of the European Statutory Audit Directive. For any</w:t>
      </w:r>
      <w:r>
        <w:t xml:space="preserve"> </w:t>
      </w:r>
      <w:r>
        <w:rPr>
          <w:bCs/>
          <w:b/>
        </w:rPr>
        <w:t xml:space="preserve">Auditor</w:t>
      </w:r>
      <w:r>
        <w:t xml:space="preserve"> </w:t>
      </w:r>
      <w:r>
        <w:t xml:space="preserve">practicing in the region, this text provides the definitive guide to compliance expectations and the consequences of regulatory breaches.</w:t>
      </w:r>
    </w:p>
    <w:p>
      <w:pPr>
        <w:pStyle w:val="BodyText"/>
      </w:pPr>
      <w:r>
        <w:t xml:space="preserve"> </w:t>
      </w:r>
      <w:r>
        <w:t xml:space="preserve">Dutch Corporate Governance Code. (2022).</w:t>
      </w:r>
      <w:r>
        <w:t xml:space="preserve"> </w:t>
      </w:r>
      <w:r>
        <w:rPr>
          <w:iCs/>
          <w:i/>
        </w:rPr>
        <w:t xml:space="preserve">Code for Corporate Governance: Principles and Best Practice Recommendations</w:t>
      </w:r>
      <w:r>
        <w:t xml:space="preserve">. Amsterdam: Netherlands Institute of Auditors (NBA).</w:t>
      </w:r>
      <w:r>
        <w:t xml:space="preserve"> </w:t>
      </w:r>
    </w:p>
    <w:p>
      <w:pPr>
        <w:pStyle w:val="BodyText"/>
      </w:pPr>
      <w:r>
        <w:t xml:space="preserve">The Dutch Corporate Governance Code is the cornerstone of corporate oversight in the</w:t>
      </w:r>
      <w:r>
        <w:t xml:space="preserve"> </w:t>
      </w:r>
      <w:r>
        <w:rPr>
          <w:bCs/>
          <w:b/>
        </w:rPr>
        <w:t xml:space="preserve">Netherlands</w:t>
      </w:r>
      <w:r>
        <w:t xml:space="preserve">. This edition outlines the "comply or explain" mechanism that is central to Dutch corporate law. For the</w:t>
      </w:r>
      <w:r>
        <w:t xml:space="preserve"> </w:t>
      </w:r>
      <w:r>
        <w:rPr>
          <w:bCs/>
          <w:b/>
        </w:rPr>
        <w:t xml:space="preserve">Auditor</w:t>
      </w:r>
      <w:r>
        <w:t xml:space="preserve"> </w:t>
      </w:r>
      <w:r>
        <w:t xml:space="preserve">in</w:t>
      </w:r>
      <w:r>
        <w:t xml:space="preserve"> </w:t>
      </w:r>
      <w:r>
        <w:rPr>
          <w:bCs/>
          <w:b/>
        </w:rPr>
        <w:t xml:space="preserve">Amsterdam</w:t>
      </w:r>
      <w:r>
        <w:t xml:space="preserve">, this document is essential for assessing the internal controls and governance structures of listed companies. It specifically addresses the relationship between the audit committee and the external auditor, providing a framework for ensuring that the auditor's work aligns with the board's responsibilities.</w:t>
      </w:r>
    </w:p>
    <w:p>
      <w:pPr>
        <w:pStyle w:val="BodyText"/>
      </w:pPr>
      <w:r>
        <w:t xml:space="preserve"> </w:t>
      </w:r>
      <w:r>
        <w:t xml:space="preserve">European Commission. (2020).</w:t>
      </w:r>
      <w:r>
        <w:t xml:space="preserve"> </w:t>
      </w:r>
      <w:r>
        <w:rPr>
          <w:iCs/>
          <w:i/>
        </w:rPr>
        <w:t xml:space="preserve">Regulation (EU) 2018/1139 on Statutory Audits of Public-Interest Entities</w:t>
      </w:r>
      <w:r>
        <w:t xml:space="preserve">. Brussels: Official Journal of the European Union.</w:t>
      </w:r>
      <w:r>
        <w:t xml:space="preserve"> </w:t>
      </w:r>
    </w:p>
    <w:p>
      <w:pPr>
        <w:pStyle w:val="BodyText"/>
      </w:pPr>
      <w:r>
        <w:t xml:space="preserve">As a member state of the EU, the</w:t>
      </w:r>
      <w:r>
        <w:t xml:space="preserve"> </w:t>
      </w:r>
      <w:r>
        <w:rPr>
          <w:bCs/>
          <w:b/>
        </w:rPr>
        <w:t xml:space="preserve">Netherlands</w:t>
      </w:r>
      <w:r>
        <w:t xml:space="preserve"> </w:t>
      </w:r>
      <w:r>
        <w:t xml:space="preserve">has fully integrated this regulation into its national law. This text is critical for auditors dealing with Public-Interest Entities (PIEs), which are prevalent in</w:t>
      </w:r>
      <w:r>
        <w:t xml:space="preserve"> </w:t>
      </w:r>
      <w:r>
        <w:rPr>
          <w:bCs/>
          <w:b/>
        </w:rPr>
        <w:t xml:space="preserve">Amsterdam</w:t>
      </w:r>
      <w:r>
        <w:t xml:space="preserve">'s financial district. It mandates the introduction of the European Single Audit File (ESAF), requiring auditors to document their work in a standardized digital format. This resource explains the technical requirements for audit documentation, ensuring that auditors in the</w:t>
      </w:r>
      <w:r>
        <w:t xml:space="preserve"> </w:t>
      </w:r>
      <w:r>
        <w:rPr>
          <w:bCs/>
          <w:b/>
        </w:rPr>
        <w:t xml:space="preserve">Netherlands</w:t>
      </w:r>
      <w:r>
        <w:t xml:space="preserve"> </w:t>
      </w:r>
      <w:r>
        <w:t xml:space="preserve">meet the harmonized standards expected across the European Union.</w:t>
      </w:r>
    </w:p>
    <w:p>
      <w:pPr>
        <w:pStyle w:val="BodyText"/>
      </w:pPr>
      <w:r>
        <w:t xml:space="preserve"> </w:t>
      </w:r>
      <w:r>
        <w:t xml:space="preserve">Netherlands Institute of Auditors (NBA). (2023).</w:t>
      </w:r>
      <w:r>
        <w:t xml:space="preserve"> </w:t>
      </w:r>
      <w:r>
        <w:rPr>
          <w:iCs/>
          <w:i/>
        </w:rPr>
        <w:t xml:space="preserve">NBA Code of Ethics for Professional Accountants</w:t>
      </w:r>
      <w:r>
        <w:t xml:space="preserve">. Amsterdam: NBA.</w:t>
      </w:r>
      <w:r>
        <w:t xml:space="preserve"> </w:t>
      </w:r>
    </w:p>
    <w:p>
      <w:pPr>
        <w:pStyle w:val="BodyText"/>
      </w:pPr>
      <w:r>
        <w:t xml:space="preserve">The NBA is the professional body representing auditors in the</w:t>
      </w:r>
      <w:r>
        <w:t xml:space="preserve"> </w:t>
      </w:r>
      <w:r>
        <w:rPr>
          <w:bCs/>
          <w:b/>
        </w:rPr>
        <w:t xml:space="preserve">Netherlands</w:t>
      </w:r>
      <w:r>
        <w:t xml:space="preserve">. This code adapts the International Ethics Standards Board for Accountants (IESBA) code to the Dutch context. It is indispensable for the</w:t>
      </w:r>
      <w:r>
        <w:t xml:space="preserve"> </w:t>
      </w:r>
      <w:r>
        <w:rPr>
          <w:bCs/>
          <w:b/>
        </w:rPr>
        <w:t xml:space="preserve">Auditor</w:t>
      </w:r>
      <w:r>
        <w:t xml:space="preserve"> </w:t>
      </w:r>
      <w:r>
        <w:t xml:space="preserve">in</w:t>
      </w:r>
      <w:r>
        <w:t xml:space="preserve"> </w:t>
      </w:r>
      <w:r>
        <w:rPr>
          <w:bCs/>
          <w:b/>
        </w:rPr>
        <w:t xml:space="preserve">Amsterdam</w:t>
      </w:r>
      <w:r>
        <w:t xml:space="preserve"> </w:t>
      </w:r>
      <w:r>
        <w:t xml:space="preserve">navigating ethical dilemmas related to independence, confidentiality, and professional behavior. The document provides specific guidance on non-audit services, a topic of significant scrutiny in the Dutch market, ensuring that auditors maintain public trust while serving clients in a competitive environment.</w:t>
      </w:r>
    </w:p>
    <w:p>
      <w:pPr>
        <w:pStyle w:val="BodyText"/>
      </w:pPr>
      <w:r>
        <w:t xml:space="preserve"> </w:t>
      </w:r>
      <w:r>
        <w:t xml:space="preserve">De Jong, A., &amp; Van der Torre, L. (2021). "The Impact of Digitalization on Audit Quality in the Netherlands."</w:t>
      </w:r>
      <w:r>
        <w:t xml:space="preserve"> </w:t>
      </w:r>
      <w:r>
        <w:rPr>
          <w:iCs/>
          <w:i/>
        </w:rPr>
        <w:t xml:space="preserve">Journal of International Accounting Research</w:t>
      </w:r>
      <w:r>
        <w:t xml:space="preserve">, 20(2), 45-62.</w:t>
      </w:r>
      <w:r>
        <w:t xml:space="preserve"> </w:t>
      </w:r>
    </w:p>
    <w:p>
      <w:pPr>
        <w:pStyle w:val="BodyText"/>
      </w:pPr>
      <w:r>
        <w:t xml:space="preserve">This academic article offers a contemporary analysis of how technology is reshaping the auditing profession in the</w:t>
      </w:r>
      <w:r>
        <w:t xml:space="preserve"> </w:t>
      </w:r>
      <w:r>
        <w:rPr>
          <w:bCs/>
          <w:b/>
        </w:rPr>
        <w:t xml:space="preserve">Netherlands</w:t>
      </w:r>
      <w:r>
        <w:t xml:space="preserve">. With</w:t>
      </w:r>
      <w:r>
        <w:t xml:space="preserve"> </w:t>
      </w:r>
      <w:r>
        <w:rPr>
          <w:bCs/>
          <w:b/>
        </w:rPr>
        <w:t xml:space="preserve">Amsterdam</w:t>
      </w:r>
      <w:r>
        <w:t xml:space="preserve"> </w:t>
      </w:r>
      <w:r>
        <w:t xml:space="preserve">being a hub for fintech and digital innovation, this study is particularly relevant. It examines how auditors are adopting data analytics and AI to enhance audit efficiency and quality. The authors argue that while digital tools offer significant benefits, they also introduce new risks that auditors must manage. This text is valuable for understanding the evolving skill set required of the modern</w:t>
      </w:r>
      <w:r>
        <w:t xml:space="preserve"> </w:t>
      </w:r>
      <w:r>
        <w:rPr>
          <w:bCs/>
          <w:b/>
        </w:rPr>
        <w:t xml:space="preserve">Auditor</w:t>
      </w:r>
      <w:r>
        <w:t xml:space="preserve"> </w:t>
      </w:r>
      <w:r>
        <w:t xml:space="preserve">in the Dutch market.</w:t>
      </w:r>
    </w:p>
    <w:p>
      <w:pPr>
        <w:pStyle w:val="BodyText"/>
      </w:pPr>
      <w:r>
        <w:t xml:space="preserve"> </w:t>
      </w:r>
      <w:r>
        <w:t xml:space="preserve">Ministry of Finance of the Netherlands. (2022).</w:t>
      </w:r>
      <w:r>
        <w:t xml:space="preserve"> </w:t>
      </w:r>
      <w:r>
        <w:rPr>
          <w:iCs/>
          <w:i/>
        </w:rPr>
        <w:t xml:space="preserve">Book of Laws: Book 2 of the Dutch Civil Code (Companies Law)</w:t>
      </w:r>
      <w:r>
        <w:t xml:space="preserve">. The Hague: Government of the Netherlands.</w:t>
      </w:r>
      <w:r>
        <w:t xml:space="preserve"> </w:t>
      </w:r>
    </w:p>
    <w:p>
      <w:pPr>
        <w:pStyle w:val="BodyText"/>
      </w:pPr>
      <w:r>
        <w:t xml:space="preserve">Book 2 of the Dutch Civil Code contains the statutory requirements for company formation, governance, and financial reporting in the</w:t>
      </w:r>
      <w:r>
        <w:t xml:space="preserve"> </w:t>
      </w:r>
      <w:r>
        <w:rPr>
          <w:bCs/>
          <w:b/>
        </w:rPr>
        <w:t xml:space="preserve">Netherlands</w:t>
      </w:r>
      <w:r>
        <w:t xml:space="preserve">. For the</w:t>
      </w:r>
      <w:r>
        <w:t xml:space="preserve"> </w:t>
      </w:r>
      <w:r>
        <w:rPr>
          <w:bCs/>
          <w:b/>
        </w:rPr>
        <w:t xml:space="preserve">Auditor</w:t>
      </w:r>
      <w:r>
        <w:t xml:space="preserve">, this is the primary legal source defining the scope of the statutory audit. It outlines the auditor's duty to examine whether the annual accounts give a true and fair view of the company's financial position. This resource is essential for auditors in</w:t>
      </w:r>
      <w:r>
        <w:t xml:space="preserve"> </w:t>
      </w:r>
      <w:r>
        <w:rPr>
          <w:bCs/>
          <w:b/>
        </w:rPr>
        <w:t xml:space="preserve">Amsterdam</w:t>
      </w:r>
      <w:r>
        <w:t xml:space="preserve"> </w:t>
      </w:r>
      <w:r>
        <w:t xml:space="preserve">to ensure their opinions are legally sound and compliant with national corporate law.</w:t>
      </w:r>
    </w:p>
    <w:p>
      <w:pPr>
        <w:pStyle w:val="BodyText"/>
      </w:pPr>
      <w:r>
        <w:t xml:space="preserve"> </w:t>
      </w:r>
      <w:r>
        <w:t xml:space="preserve">International Federation of Accountants (IFAC). (2023).</w:t>
      </w:r>
      <w:r>
        <w:t xml:space="preserve"> </w:t>
      </w:r>
      <w:r>
        <w:rPr>
          <w:iCs/>
          <w:i/>
        </w:rPr>
        <w:t xml:space="preserve">International Standards on Auditing (ISAs)</w:t>
      </w:r>
      <w:r>
        <w:t xml:space="preserve">. New York: IFAC.</w:t>
      </w:r>
      <w:r>
        <w:t xml:space="preserve"> </w:t>
      </w:r>
    </w:p>
    <w:p>
      <w:pPr>
        <w:pStyle w:val="BodyText"/>
      </w:pPr>
      <w:r>
        <w:t xml:space="preserve">The ISAs are adopted by the</w:t>
      </w:r>
      <w:r>
        <w:t xml:space="preserve"> </w:t>
      </w:r>
      <w:r>
        <w:rPr>
          <w:bCs/>
          <w:b/>
        </w:rPr>
        <w:t xml:space="preserve">Netherlands</w:t>
      </w:r>
      <w:r>
        <w:t xml:space="preserve"> </w:t>
      </w:r>
      <w:r>
        <w:t xml:space="preserve">and form the technical basis for all audits performed in the country. This compilation of standards provides detailed guidance on planning, evidence gathering, and reporting. For the</w:t>
      </w:r>
      <w:r>
        <w:t xml:space="preserve"> </w:t>
      </w:r>
      <w:r>
        <w:rPr>
          <w:bCs/>
          <w:b/>
        </w:rPr>
        <w:t xml:space="preserve">Auditor</w:t>
      </w:r>
      <w:r>
        <w:t xml:space="preserve"> </w:t>
      </w:r>
      <w:r>
        <w:t xml:space="preserve">in</w:t>
      </w:r>
      <w:r>
        <w:t xml:space="preserve"> </w:t>
      </w:r>
      <w:r>
        <w:rPr>
          <w:bCs/>
          <w:b/>
        </w:rPr>
        <w:t xml:space="preserve">Amsterdam</w:t>
      </w:r>
      <w:r>
        <w:t xml:space="preserve">, adherence to ISAs is not optional but a legal requirement for statutory audits. This text ensures that auditors apply consistent methodologies, facilitating the comparability of financial statements across borders, which is crucial for international businesses headquartered in the Dutch capital.</w:t>
      </w:r>
    </w:p>
    <w:p>
      <w:pPr>
        <w:pStyle w:val="BodyText"/>
      </w:pPr>
      <w:r>
        <w:t xml:space="preserve"> </w:t>
      </w:r>
      <w:r>
        <w:t xml:space="preserve">Van der Laan, S. (2022). "Auditor Independence and Non-Audit Services in the Dutch Market."</w:t>
      </w:r>
      <w:r>
        <w:t xml:space="preserve"> </w:t>
      </w:r>
      <w:r>
        <w:rPr>
          <w:iCs/>
          <w:i/>
        </w:rPr>
        <w:t xml:space="preserve">European Accounting Review</w:t>
      </w:r>
      <w:r>
        <w:t xml:space="preserve">, 31(4), 789-810.</w:t>
      </w:r>
      <w:r>
        <w:t xml:space="preserve"> </w:t>
      </w:r>
    </w:p>
    <w:p>
      <w:pPr>
        <w:pStyle w:val="BodyText"/>
      </w:pPr>
      <w:r>
        <w:t xml:space="preserve">This research paper investigates the tension between audit and non-audit services within the</w:t>
      </w:r>
      <w:r>
        <w:t xml:space="preserve"> </w:t>
      </w:r>
      <w:r>
        <w:rPr>
          <w:bCs/>
          <w:b/>
        </w:rPr>
        <w:t xml:space="preserve">Netherlands</w:t>
      </w:r>
      <w:r>
        <w:t xml:space="preserve">. It analyzes data from major audit firms operating in</w:t>
      </w:r>
      <w:r>
        <w:t xml:space="preserve"> </w:t>
      </w:r>
      <w:r>
        <w:rPr>
          <w:bCs/>
          <w:b/>
        </w:rPr>
        <w:t xml:space="preserve">Amsterdam</w:t>
      </w:r>
      <w:r>
        <w:t xml:space="preserve"> </w:t>
      </w:r>
      <w:r>
        <w:t xml:space="preserve">to assess whether the provision of consulting services compromises auditor independence. The findings are highly relevant for the</w:t>
      </w:r>
      <w:r>
        <w:t xml:space="preserve"> </w:t>
      </w:r>
      <w:r>
        <w:rPr>
          <w:bCs/>
          <w:b/>
        </w:rPr>
        <w:t xml:space="preserve">Auditor</w:t>
      </w:r>
      <w:r>
        <w:t xml:space="preserve"> </w:t>
      </w:r>
      <w:r>
        <w:t xml:space="preserve">seeking to balance business development with ethical obligations. The paper provides empirical evidence that supports the regulatory restrictions imposed by the AFM and the NBA, offering a deeper understanding of the market dynamics affecting audit quality.</w:t>
      </w:r>
    </w:p>
    <w:p>
      <w:pPr>
        <w:pStyle w:val="BodyText"/>
      </w:pPr>
      <w:r>
        <w:t xml:space="preserve">Document generated for educational and professional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Auditor in Amsterdam, Netherlands</dc:title>
  <dc:creator/>
  <dc:language>en</dc:language>
  <cp:keywords/>
  <dcterms:created xsi:type="dcterms:W3CDTF">2026-08-07T22:38:44Z</dcterms:created>
  <dcterms:modified xsi:type="dcterms:W3CDTF">2026-08-07T22:38:44Z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