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Auditor</w:t>
      </w:r>
      <w:r>
        <w:t xml:space="preserve"> </w:t>
      </w:r>
      <w:r>
        <w:t xml:space="preserve">in</w:t>
      </w:r>
      <w:r>
        <w:t xml:space="preserve"> </w:t>
      </w:r>
      <w:r>
        <w:t xml:space="preserve">Riyadh,</w:t>
      </w:r>
      <w:r>
        <w:t xml:space="preserve"> </w:t>
      </w:r>
      <w:r>
        <w:t xml:space="preserve">Saudi</w:t>
      </w:r>
      <w:r>
        <w:t xml:space="preserve"> </w:t>
      </w:r>
      <w:r>
        <w:t xml:space="preserve">Arabia</w:t>
      </w:r>
    </w:p>
    <w:bookmarkStart w:id="20" w:name="annotated-bibliography"/>
    <w:p>
      <w:pPr>
        <w:pStyle w:val="Heading1"/>
      </w:pPr>
      <w:r>
        <w:t xml:space="preserve">Annotated Bibliography</w:t>
      </w:r>
    </w:p>
    <w:p>
      <w:pPr>
        <w:pStyle w:val="FirstParagraph"/>
      </w:pPr>
      <w:r>
        <w:t xml:space="preserve">Topic: The Role and Regulation of the Auditor in Riyadh, Saudi Arabia</w:t>
      </w:r>
    </w:p>
    <w:bookmarkEnd w:id="20"/>
    <w:bookmarkStart w:id="21" w:name="introduction"/>
    <w:p>
      <w:pPr>
        <w:pStyle w:val="Heading2"/>
      </w:pPr>
      <w:r>
        <w:t xml:space="preserve">Introduction</w:t>
      </w:r>
    </w:p>
    <w:p>
      <w:pPr>
        <w:pStyle w:val="FirstParagraph"/>
      </w:pPr>
      <w:r>
        <w:t xml:space="preserve">The Kingdom of Saudi Arabia is currently undergoing a profound economic transformation driven by Vision 2030. As the capital city, Riyadh serves as the epicenter of this change, hosting the headquarters of major financial institutions, government entities, and multinational corporations. In this dynamic environment, the role of the</w:t>
      </w:r>
      <w:r>
        <w:t xml:space="preserve"> </w:t>
      </w:r>
      <w:r>
        <w:rPr>
          <w:bCs/>
          <w:b/>
        </w:rPr>
        <w:t xml:space="preserve">Auditor</w:t>
      </w:r>
      <w:r>
        <w:t xml:space="preserve"> </w:t>
      </w:r>
      <w:r>
        <w:t xml:space="preserve">has evolved from a compliance-focused function to a strategic pillar of corporate governance and financial integrity.</w:t>
      </w:r>
    </w:p>
    <w:p>
      <w:pPr>
        <w:pStyle w:val="BodyText"/>
      </w:pPr>
      <w:r>
        <w:t xml:space="preserve">This annotated bibliography compiles key resources regarding the regulatory framework, ethical standards, and professional requirements for auditors operating within Riyadh. It covers the mandates of the Capital Market Authority (CMA), the Saudi Organization for Certified Public Accountants (SOCPA), and the integration of International Standards on Auditing (ISA) within the local context. These sources provide a comprehensive overview for professionals and researchers interested in the auditing landscape of Saudi Arabia.</w:t>
      </w:r>
    </w:p>
    <w:bookmarkEnd w:id="21"/>
    <w:bookmarkStart w:id="22" w:name="bibliographic-entries"/>
    <w:p>
      <w:pPr>
        <w:pStyle w:val="Heading2"/>
      </w:pPr>
      <w:r>
        <w:t xml:space="preserve">Bibliographic Entries</w:t>
      </w:r>
    </w:p>
    <w:p>
      <w:pPr>
        <w:pStyle w:val="FirstParagraph"/>
      </w:pPr>
      <w:r>
        <w:t xml:space="preserve"> </w:t>
      </w:r>
      <w:r>
        <w:t xml:space="preserve">Capital Market Authority (CMA). (2023).</w:t>
      </w:r>
      <w:r>
        <w:t xml:space="preserve"> </w:t>
      </w:r>
      <w:r>
        <w:rPr>
          <w:iCs/>
          <w:i/>
        </w:rPr>
        <w:t xml:space="preserve">Regulation of the Practice of Auditing and Accounting Services</w:t>
      </w:r>
      <w:r>
        <w:t xml:space="preserve">. Riyadh: Capital Market Authority of Saudi Arabia.</w:t>
      </w:r>
      <w:r>
        <w:t xml:space="preserve"> </w:t>
      </w:r>
    </w:p>
    <w:p>
      <w:pPr>
        <w:pStyle w:val="BodyText"/>
      </w:pPr>
      <w:r>
        <w:t xml:space="preserve">This primary regulatory document is essential for understanding the legal obligations of an auditor in Riyadh. Issued by the CMA, the regulation outlines the licensing requirements, professional conduct rules, and quality control standards that audit firms must adhere to when serving listed companies and public interest entities in the Kingdom. It details the specific penalties for non-compliance and emphasizes the auditor's responsibility in safeguarding investor confidence. For any practitioner in Riyadh, this text serves as the definitive guide to statutory compliance.</w:t>
      </w:r>
    </w:p>
    <w:p>
      <w:pPr>
        <w:pStyle w:val="BodyText"/>
      </w:pPr>
      <w:r>
        <w:t xml:space="preserve"> </w:t>
      </w:r>
      <w:r>
        <w:t xml:space="preserve">Saudi Organization for Certified Public Accountants (SOCPA). (2022).</w:t>
      </w:r>
      <w:r>
        <w:t xml:space="preserve"> </w:t>
      </w:r>
      <w:r>
        <w:rPr>
          <w:iCs/>
          <w:i/>
        </w:rPr>
        <w:t xml:space="preserve">Code of Ethics for Professional Accountants in Saudi Arabia</w:t>
      </w:r>
      <w:r>
        <w:t xml:space="preserve">. Riyadh: SOCPA.</w:t>
      </w:r>
      <w:r>
        <w:t xml:space="preserve"> </w:t>
      </w:r>
    </w:p>
    <w:p>
      <w:pPr>
        <w:pStyle w:val="BodyText"/>
      </w:pPr>
      <w:r>
        <w:t xml:space="preserve">Adapted from the International Ethics Standards Board for Accountants (IESBA) Code, this document establishes the ethical framework for auditors in Saudi Arabia. It addresses fundamental principles such as integrity, objectivity, professional competence, and confidentiality. The document is particularly relevant to Riyadh-based auditors who often navigate complex relationships with government entities and large family-owned conglomerates. It provides specific guidance on handling conflicts of interest and maintaining independence, which are critical for maintaining the reputation of the auditing profession in the Kingdom.</w:t>
      </w:r>
    </w:p>
    <w:p>
      <w:pPr>
        <w:pStyle w:val="BodyText"/>
      </w:pPr>
      <w:r>
        <w:t xml:space="preserve"> </w:t>
      </w:r>
      <w:r>
        <w:t xml:space="preserve">Al-Matari, E. M., &amp; Al-Saidat, M. (2021). "The Impact of Vision 2030 on Corporate Governance and Auditing Practices in Saudi Arabia."</w:t>
      </w:r>
      <w:r>
        <w:t xml:space="preserve"> </w:t>
      </w:r>
      <w:r>
        <w:rPr>
          <w:iCs/>
          <w:i/>
        </w:rPr>
        <w:t xml:space="preserve">Journal of Financial Reporting and Accounting</w:t>
      </w:r>
      <w:r>
        <w:t xml:space="preserve">, 19(3), 450-475.</w:t>
      </w:r>
      <w:r>
        <w:t xml:space="preserve"> </w:t>
      </w:r>
    </w:p>
    <w:p>
      <w:pPr>
        <w:pStyle w:val="BodyText"/>
      </w:pPr>
      <w:r>
        <w:t xml:space="preserve">This academic article analyzes how the strategic goals of Vision 2030 have reshaped the auditing landscape in Riyadh. The authors argue that the push for economic diversification and transparency has led to stricter auditing requirements and a greater demand for non-financial assurance services. The study highlights the shift towards risk-based auditing in Saudi Arabia and discusses the challenges auditors face in adapting to new digital reporting standards. It is a valuable resource for understanding the macroeconomic context influencing the auditor's role in the capital city.</w:t>
      </w:r>
    </w:p>
    <w:p>
      <w:pPr>
        <w:pStyle w:val="BodyText"/>
      </w:pPr>
      <w:r>
        <w:t xml:space="preserve"> </w:t>
      </w:r>
      <w:r>
        <w:t xml:space="preserve">Ministry of Commerce. (2023).</w:t>
      </w:r>
      <w:r>
        <w:t xml:space="preserve"> </w:t>
      </w:r>
      <w:r>
        <w:rPr>
          <w:iCs/>
          <w:i/>
        </w:rPr>
        <w:t xml:space="preserve">Commercial Companies Law of the Kingdom of Saudi Arabia</w:t>
      </w:r>
      <w:r>
        <w:t xml:space="preserve"> </w:t>
      </w:r>
      <w:r>
        <w:t xml:space="preserve">(Royal Decree No. M/3). Riyadh: Ministry of Commerce.</w:t>
      </w:r>
      <w:r>
        <w:t xml:space="preserve"> </w:t>
      </w:r>
    </w:p>
    <w:p>
      <w:pPr>
        <w:pStyle w:val="BodyText"/>
      </w:pPr>
      <w:r>
        <w:t xml:space="preserve">The Commercial Companies Law provides the statutory basis for the appointment and duties of auditors in Saudi Arabia. This document specifies the requirements for external audits for various company structures, including Joint Stock Companies prevalent in Riyadh. It outlines the auditor's right to access all company records and their obligation to report irregularities to the relevant authorities. Understanding this law is crucial for auditors to define the scope of their engagement and their legal liabilities within the Saudi jurisdiction.</w:t>
      </w:r>
    </w:p>
    <w:p>
      <w:pPr>
        <w:pStyle w:val="BodyText"/>
      </w:pPr>
      <w:r>
        <w:t xml:space="preserve"> </w:t>
      </w:r>
      <w:r>
        <w:t xml:space="preserve">Al-Htaybat, K., &amp; Al-Saidat, M. (2020). "Audit Quality and Earnings Management in Saudi Arabia: Evidence from the Riyadh Stock Exchange."</w:t>
      </w:r>
      <w:r>
        <w:t xml:space="preserve"> </w:t>
      </w:r>
      <w:r>
        <w:rPr>
          <w:iCs/>
          <w:i/>
        </w:rPr>
        <w:t xml:space="preserve">International Journal of Accounting and Financial Reporting</w:t>
      </w:r>
      <w:r>
        <w:t xml:space="preserve">, 10(2), 112-130.</w:t>
      </w:r>
      <w:r>
        <w:t xml:space="preserve"> </w:t>
      </w:r>
    </w:p>
    <w:p>
      <w:pPr>
        <w:pStyle w:val="BodyText"/>
      </w:pPr>
      <w:r>
        <w:t xml:space="preserve">This empirical study focuses on the relationship between audit quality and financial reporting practices among companies listed on the Tadawul (Riyadh Stock Exchange). The research suggests that the presence of Big Four audit firms in Riyadh is associated with higher audit quality and lower levels of earnings management. The paper provides insights into the market perception of different audit firms in Saudi Arabia and underscores the importance of auditor independence in enhancing financial transparency. It is highly relevant for stakeholders assessing the reliability of financial statements in the Kingdom.</w:t>
      </w:r>
    </w:p>
    <w:p>
      <w:pPr>
        <w:pStyle w:val="BodyText"/>
      </w:pPr>
      <w:r>
        <w:t xml:space="preserve"> </w:t>
      </w:r>
      <w:r>
        <w:t xml:space="preserve">Saudi Central Bank (SAMA). (2022).</w:t>
      </w:r>
      <w:r>
        <w:t xml:space="preserve"> </w:t>
      </w:r>
      <w:r>
        <w:rPr>
          <w:iCs/>
          <w:i/>
        </w:rPr>
        <w:t xml:space="preserve">Prudential Regulations for Banks and Financial Institutions</w:t>
      </w:r>
      <w:r>
        <w:t xml:space="preserve">. Riyadh: Saudi Central Bank.</w:t>
      </w:r>
      <w:r>
        <w:t xml:space="preserve"> </w:t>
      </w:r>
    </w:p>
    <w:p>
      <w:pPr>
        <w:pStyle w:val="BodyText"/>
      </w:pPr>
      <w:r>
        <w:t xml:space="preserve">As Riyadh is the financial hub of Saudi Arabia, auditors frequently engage with banks and financial institutions regulated by SAMA. This document outlines the specific auditing and internal control requirements for the financial sector. It mandates rigorous risk management assessments and regular external audits to ensure the stability of the financial system. For auditors specializing in financial services in Riyadh, this regulation is a critical reference for compliance with sector-specific standards and for understanding the heightened scrutiny applied to financial institutions.</w:t>
      </w:r>
    </w:p>
    <w:p>
      <w:pPr>
        <w:pStyle w:val="BodyText"/>
      </w:pPr>
      <w:r>
        <w:t xml:space="preserve"> </w:t>
      </w:r>
      <w:r>
        <w:t xml:space="preserve">International Federation of Accountants (IFAC). (2021).</w:t>
      </w:r>
      <w:r>
        <w:t xml:space="preserve"> </w:t>
      </w:r>
      <w:r>
        <w:rPr>
          <w:iCs/>
          <w:i/>
        </w:rPr>
        <w:t xml:space="preserve">International Standards on Auditing (ISA)</w:t>
      </w:r>
      <w:r>
        <w:t xml:space="preserve">. New York: IFAC.</w:t>
      </w:r>
      <w:r>
        <w:t xml:space="preserve"> </w:t>
      </w:r>
    </w:p>
    <w:p>
      <w:pPr>
        <w:pStyle w:val="BodyText"/>
      </w:pPr>
      <w:r>
        <w:t xml:space="preserve">While not specific to Saudi Arabia, the ISA is the global benchmark adopted by SOCPA and the CMA for auditing practices in the Kingdom. This compilation of standards provides the technical framework for planning, executing, and reporting on audits. Auditors in Riyadh are required to apply these standards to ensure their work is internationally recognized and comparable. The document covers key areas such as audit evidence, internal control, and audit reporting, forming the technical backbone of the auditor's profession in Saudi Arabia.</w:t>
      </w:r>
    </w:p>
    <w:p>
      <w:pPr>
        <w:pStyle w:val="BodyText"/>
      </w:pPr>
      <w:r>
        <w:t xml:space="preserve"> </w:t>
      </w:r>
      <w:r>
        <w:t xml:space="preserve">Al-Shaer, H., &amp; Zain, M. (2019). "The Role of the Audit Committee in Enhancing Audit Quality in Saudi Arabia."</w:t>
      </w:r>
      <w:r>
        <w:t xml:space="preserve"> </w:t>
      </w:r>
      <w:r>
        <w:rPr>
          <w:iCs/>
          <w:i/>
        </w:rPr>
        <w:t xml:space="preserve">Managerial Auditing Journal</w:t>
      </w:r>
      <w:r>
        <w:t xml:space="preserve">, 34(5), 567-589.</w:t>
      </w:r>
      <w:r>
        <w:t xml:space="preserve"> </w:t>
      </w:r>
    </w:p>
    <w:p>
      <w:pPr>
        <w:pStyle w:val="BodyText"/>
      </w:pPr>
      <w:r>
        <w:t xml:space="preserve">This article examines the interaction between audit committees and external auditors in Saudi Arabian companies, with a focus on entities headquartered in Riyadh. The study finds that effective audit committees play a significant role in improving audit quality and ensuring auditor independence. It highlights the growing importance of corporate governance structures in Saudi Arabia and the auditor's need to engage effectively with audit committees. This resource is useful for understanding the organizational dynamics that influence the auditor's work in the Kingdom.</w:t>
      </w:r>
    </w:p>
    <w:bookmarkEnd w:id="22"/>
    <w:p>
      <w:pPr>
        <w:pStyle w:val="BodyText"/>
      </w:pPr>
      <w:r>
        <w:t xml:space="preserve">Document generated for educational and professional reference purposes regarding the auditing profession in Riyadh, Saudi Arabia.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Auditor in Riyadh, Saudi Arabia</dc:title>
  <dc:creator/>
  <dc:language>en</dc:language>
  <cp:keywords/>
  <dcterms:created xsi:type="dcterms:W3CDTF">2026-08-08T10:14:47Z</dcterms:created>
  <dcterms:modified xsi:type="dcterms:W3CDTF">2026-08-08T10:14:47Z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