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4" w:name="X6aaa3f7bbf26af5101aec83fa0009edf77a0ef5"/>
    <w:p>
      <w:pPr>
        <w:pStyle w:val="Heading1"/>
      </w:pPr>
      <w:r>
        <w:t xml:space="preserve">Annotated Bibliography: The Role and Regulation of the Auditor in Thailand Bangkok</w:t>
      </w:r>
    </w:p>
    <w:p>
      <w:pPr>
        <w:pStyle w:val="FirstParagraph"/>
      </w:pPr>
      <w:r>
        <w:rPr>
          <w:bCs/>
          <w:b/>
        </w:rPr>
        <w:t xml:space="preserve">Introduction:</w:t>
      </w:r>
      <w:r>
        <w:t xml:space="preserve"> </w:t>
      </w:r>
      <w:r>
        <w:t xml:space="preserve">This annotated bibliography compiles essential literature regarding the profession of the auditor within the specific context of Thailand, with a primary focus on the capital city, Bangkok. As the financial hub of Southeast Asia, Bangkok hosts the Securities and Exchange Commission (SEC), the Stock Exchange of Thailand (SET), and the headquarters of major accounting firms. The selected sources examine the regulatory framework, ethical challenges, and the evolving responsibilities of auditors in ensuring financial transparency in the Thai market.</w:t>
      </w:r>
    </w:p>
    <w:bookmarkStart w:id="20" w:name="regulatory-framework-and-standards"/>
    <w:p>
      <w:pPr>
        <w:pStyle w:val="Heading2"/>
      </w:pPr>
      <w:r>
        <w:t xml:space="preserve">Regulatory Framework and Standards</w:t>
      </w:r>
    </w:p>
    <w:p>
      <w:pPr>
        <w:pStyle w:val="FirstParagraph"/>
      </w:pPr>
      <w:r>
        <w:t xml:space="preserve">Accounting Professions Act B.E. 2547 (2004). Royal Gazette of Thailand.</w:t>
      </w:r>
    </w:p>
    <w:p>
      <w:pPr>
        <w:pStyle w:val="BodyText"/>
      </w:pPr>
      <w:r>
        <w:t xml:space="preserve">This primary legal source is the cornerstone of the auditing profession in Thailand. It establishes the legal requirements for the registration and practice of auditors. For an auditor operating in Bangkok, this Act is critical as it defines the scope of practice, the penalties for negligence, and the requirements for continuing professional development. The document outlines the structure of the Council of the Accounting Professions, which oversees the integrity of financial reporting across the nation. Understanding this Act is mandatory for any auditor to navigate the legal landscape of Thai corporate governance.</w:t>
      </w:r>
    </w:p>
    <w:p>
      <w:pPr>
        <w:pStyle w:val="BodyText"/>
      </w:pPr>
      <w:r>
        <w:t xml:space="preserve">Keywords: Legal Framework, Auditor Registration, Thai Law, Professional Standards.</w:t>
      </w:r>
    </w:p>
    <w:p>
      <w:pPr>
        <w:pStyle w:val="BodyText"/>
      </w:pPr>
      <w:r>
        <w:t xml:space="preserve">Federation of Accounting Professions (FAP). (2022). Thai Auditing Standards (TAS). Bangkok: FAP.</w:t>
      </w:r>
    </w:p>
    <w:p>
      <w:pPr>
        <w:pStyle w:val="BodyText"/>
      </w:pPr>
      <w:r>
        <w:t xml:space="preserve">The Federation of Accounting Professions (FAP) is the primary body responsible for setting auditing standards in Thailand. This publication details the Thai Auditing Standards, which are largely converged with International Standards on Auditing (ISA). For auditors in Bangkok, particularly those working with multinational corporations or listed companies on the Stock Exchange of Thailand, adherence to these standards is non-negotiable. The document provides technical guidance on audit planning, evidence gathering, and reporting, ensuring that Thai audits meet global quality expectations.</w:t>
      </w:r>
    </w:p>
    <w:p>
      <w:pPr>
        <w:pStyle w:val="BodyText"/>
      </w:pPr>
      <w:r>
        <w:t xml:space="preserve">Keywords: FAP, Thai Auditing Standards, ISA Convergence, Technical Guidance.</w:t>
      </w:r>
    </w:p>
    <w:bookmarkEnd w:id="20"/>
    <w:bookmarkStart w:id="21" w:name="ethics-and-independence"/>
    <w:p>
      <w:pPr>
        <w:pStyle w:val="Heading2"/>
      </w:pPr>
      <w:r>
        <w:t xml:space="preserve">Ethics and Independence</w:t>
      </w:r>
    </w:p>
    <w:p>
      <w:pPr>
        <w:pStyle w:val="FirstParagraph"/>
      </w:pPr>
      <w:r>
        <w:t xml:space="preserve">Securities and Exchange Commission (SEC) Thailand. (2021). Code of Ethics for Auditors of Listed Companies. Bangkok: SEC.</w:t>
      </w:r>
    </w:p>
    <w:p>
      <w:pPr>
        <w:pStyle w:val="BodyText"/>
      </w:pPr>
      <w:r>
        <w:t xml:space="preserve">Given that Bangkok is the headquarters for the vast majority of Thailand's listed companies, the SEC's Code of Ethics is a vital resource. This document addresses the specific ethical dilemmas auditors face in the Thai market, such as conflicts of interest and the maintenance of independence. It emphasizes the auditor's duty to protect investors and maintain market confidence. The text provides specific scenarios relevant to the Thai business culture, offering guidance on how auditors can maintain objectivity amidst complex local business relationships.</w:t>
      </w:r>
    </w:p>
    <w:p>
      <w:pPr>
        <w:pStyle w:val="BodyText"/>
      </w:pPr>
      <w:r>
        <w:t xml:space="preserve">Keywords: SEC Thailand, Ethics, Independence, Listed Companies, Investor Protection.</w:t>
      </w:r>
    </w:p>
    <w:p>
      <w:pPr>
        <w:pStyle w:val="BodyText"/>
      </w:pPr>
      <w:r>
        <w:t xml:space="preserve">KPMG Thailand. (2023). The Future of Audit in Thailand: Trust and Technology. Bangkok: KPMG.</w:t>
      </w:r>
    </w:p>
    <w:p>
      <w:pPr>
        <w:pStyle w:val="BodyText"/>
      </w:pPr>
      <w:r>
        <w:t xml:space="preserve">This industry report explores how the role of the auditor in Bangkok is evolving due to digital transformation. It argues that modern auditors must move beyond traditional compliance to provide assurance on data integrity and cybersecurity. The report highlights the challenges of auditing in a rapidly digitizing economy like Thailand's. It is particularly relevant for auditors in Bangkok who are integrating AI and data analytics into their workflows to enhance audit quality and efficiency.</w:t>
      </w:r>
    </w:p>
    <w:p>
      <w:pPr>
        <w:pStyle w:val="BodyText"/>
      </w:pPr>
      <w:r>
        <w:t xml:space="preserve">Keywords: Digital Transformation, Audit Technology, KPMG, Future Trends.</w:t>
      </w:r>
    </w:p>
    <w:bookmarkEnd w:id="21"/>
    <w:bookmarkStart w:id="22" w:name="corporate-governance-and-market-context"/>
    <w:p>
      <w:pPr>
        <w:pStyle w:val="Heading2"/>
      </w:pPr>
      <w:r>
        <w:t xml:space="preserve">Corporate Governance and Market Context</w:t>
      </w:r>
    </w:p>
    <w:p>
      <w:pPr>
        <w:pStyle w:val="FirstParagraph"/>
      </w:pPr>
      <w:r>
        <w:t xml:space="preserve">Stock Exchange of Thailand (SET). (2022). Corporate Governance Code. Bangkok: SET.</w:t>
      </w:r>
    </w:p>
    <w:p>
      <w:pPr>
        <w:pStyle w:val="BodyText"/>
      </w:pPr>
      <w:r>
        <w:t xml:space="preserve">The SET Corporate Governance Code sets the benchmark for good governance practices for companies listed in Bangkok. This document outlines the specific responsibilities of the audit committee and the external auditor. It emphasizes the auditor's role in monitoring internal controls and risk management. For auditors working in Thailand, this code is essential for understanding the expectations of the capital market and the regulatory environment in which they operate.</w:t>
      </w:r>
    </w:p>
    <w:p>
      <w:pPr>
        <w:pStyle w:val="BodyText"/>
      </w:pPr>
      <w:r>
        <w:t xml:space="preserve">Keywords: SET, Corporate Governance, Audit Committee, Risk Management.</w:t>
      </w:r>
    </w:p>
    <w:p>
      <w:pPr>
        <w:pStyle w:val="BodyText"/>
      </w:pPr>
      <w:r>
        <w:t xml:space="preserve">PricewaterhouseCoopers (PwC) Thailand. (2023). Thailand Audit Outlook. Bangkok: PwC.</w:t>
      </w:r>
    </w:p>
    <w:p>
      <w:pPr>
        <w:pStyle w:val="BodyText"/>
      </w:pPr>
      <w:r>
        <w:t xml:space="preserve">This annual publication provides a comprehensive overview of the audit landscape in Thailand. It discusses regulatory changes, economic factors affecting audit demand, and the talent shortage in the profession. For auditors in Bangkok, this report offers valuable insights into the competitive environment and the strategic direction of the industry. It also highlights the importance of sustainability reporting, a growing area of focus for auditors in Thailand.</w:t>
      </w:r>
    </w:p>
    <w:p>
      <w:pPr>
        <w:pStyle w:val="BodyText"/>
      </w:pPr>
      <w:r>
        <w:t xml:space="preserve">Keywords: PwC, Industry Outlook, Sustainability Reporting, Talent Management.</w:t>
      </w:r>
    </w:p>
    <w:bookmarkEnd w:id="22"/>
    <w:bookmarkStart w:id="23" w:name="academic-and-critical-perspectives"/>
    <w:p>
      <w:pPr>
        <w:pStyle w:val="Heading2"/>
      </w:pPr>
      <w:r>
        <w:t xml:space="preserve">Academic and Critical Perspectives</w:t>
      </w:r>
    </w:p>
    <w:p>
      <w:pPr>
        <w:pStyle w:val="FirstParagraph"/>
      </w:pPr>
      <w:r>
        <w:t xml:space="preserve">Chen, S., &amp; Wang, Y. (2020). "Auditor Independence and Earnings Management in Thailand." Journal of Asian Accounting and Research, 15(2), 112-130.</w:t>
      </w:r>
    </w:p>
    <w:p>
      <w:pPr>
        <w:pStyle w:val="BodyText"/>
      </w:pPr>
      <w:r>
        <w:t xml:space="preserve">This academic article provides a critical analysis of auditor independence in the Thai context. It examines the relationship between auditor tenure and earnings management in Thai listed companies. The study suggests that while regulatory frameworks are strong, cultural factors can sometimes influence auditor behavior. This source is valuable for auditors in Bangkok who wish to understand the academic perspective on the challenges of maintaining independence in a relationship-oriented business culture.</w:t>
      </w:r>
    </w:p>
    <w:p>
      <w:pPr>
        <w:pStyle w:val="BodyText"/>
      </w:pPr>
      <w:r>
        <w:t xml:space="preserve">Keywords: Academic Research, Auditor Independence, Earnings Management, Cultural Factors.</w:t>
      </w:r>
    </w:p>
    <w:p>
      <w:pPr>
        <w:pStyle w:val="BodyText"/>
      </w:pPr>
      <w:r>
        <w:t xml:space="preserve">Deloitte Thailand. (2022). Navigating Regulatory Changes for Auditors in Thailand. Bangkok: Deloitte.</w:t>
      </w:r>
    </w:p>
    <w:p>
      <w:pPr>
        <w:pStyle w:val="BodyText"/>
      </w:pPr>
      <w:r>
        <w:t xml:space="preserve">This practical guide helps auditors in Bangkok navigate the complex and frequently changing regulatory environment. It covers recent amendments to the Accounting Professions Act and new requirements from the SEC and FAP. The document is highly practical, offering checklists and summaries of key changes. It is an essential resource for auditors who need to stay compliant and informed about the latest developments in the Thai auditing profession.</w:t>
      </w:r>
    </w:p>
    <w:p>
      <w:pPr>
        <w:pStyle w:val="BodyText"/>
      </w:pPr>
      <w:r>
        <w:t xml:space="preserve">Keywords: Deloitte, Regulatory Compliance, Practical Guide, Recent Changes.</w:t>
      </w:r>
    </w:p>
    <w:p>
      <w:pPr>
        <w:pStyle w:val="BodyText"/>
      </w:pPr>
      <w:r>
        <w:rPr>
          <w:iCs/>
          <w:i/>
        </w:rPr>
        <w:t xml:space="preserve">Note: This annotated bibliography is intended for educational and professional reference purposes. Auditors in Thailand Bangkok should always consult the latest official publications from the FAP, SEC, and SET for the most current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Thailand Bangkok</dc:title>
  <dc:creator/>
  <dc:language>en</dc:language>
  <cp:keywords/>
  <dcterms:created xsi:type="dcterms:W3CDTF">2026-08-08T07:17:50Z</dcterms:created>
  <dcterms:modified xsi:type="dcterms:W3CDTF">2026-08-08T07:17:50Z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