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Venezuela</w:t>
      </w:r>
      <w:r>
        <w:t xml:space="preserve"> </w:t>
      </w:r>
      <w:r>
        <w:t xml:space="preserve">(Caracas)</w:t>
      </w:r>
    </w:p>
    <w:bookmarkStart w:id="20" w:name="X84c41b434b50ee5b77b69e873c8ea7b0a574825"/>
    <w:p>
      <w:pPr>
        <w:pStyle w:val="Heading1"/>
      </w:pPr>
      <w:r>
        <w:t xml:space="preserve">Annotated Bibliography: The Role of the Auditor in Venezuela (Caracas)</w:t>
      </w:r>
    </w:p>
    <w:p>
      <w:pPr>
        <w:pStyle w:val="FirstParagraph"/>
      </w:pPr>
      <w:r>
        <w:t xml:space="preserve">Prepared for Professional and Academic Reference</w:t>
      </w:r>
    </w:p>
    <w:bookmarkEnd w:id="20"/>
    <w:bookmarkStart w:id="21" w:name="introduction"/>
    <w:p>
      <w:pPr>
        <w:pStyle w:val="Heading2"/>
      </w:pPr>
      <w:r>
        <w:t xml:space="preserve">Introduction</w:t>
      </w:r>
    </w:p>
    <w:p>
      <w:pPr>
        <w:pStyle w:val="FirstParagraph"/>
      </w:pPr>
      <w:r>
        <w:t xml:space="preserve">The profession of the</w:t>
      </w:r>
      <w:r>
        <w:t xml:space="preserve"> </w:t>
      </w:r>
      <w:r>
        <w:rPr>
          <w:bCs/>
          <w:b/>
        </w:rPr>
        <w:t xml:space="preserve">Auditor</w:t>
      </w:r>
      <w:r>
        <w:t xml:space="preserve"> </w:t>
      </w:r>
      <w:r>
        <w:t xml:space="preserve">in</w:t>
      </w:r>
      <w:r>
        <w:t xml:space="preserve"> </w:t>
      </w:r>
      <w:r>
        <w:rPr>
          <w:bCs/>
          <w:b/>
        </w:rPr>
        <w:t xml:space="preserve">Venezuela</w:t>
      </w:r>
      <w:r>
        <w:t xml:space="preserve">, particularly within the economic hub of</w:t>
      </w:r>
      <w:r>
        <w:t xml:space="preserve"> </w:t>
      </w:r>
      <w:r>
        <w:rPr>
          <w:bCs/>
          <w:b/>
        </w:rPr>
        <w:t xml:space="preserve">Caracas</w:t>
      </w:r>
      <w:r>
        <w:t xml:space="preserve">, operates under a unique set of challenges and regulatory frameworks. This annotated bibliography compiles key resources that examine the intersection of international auditing standards, Venezuelan legal requirements, and the practical realities of conducting audits in a volatile economic environment.</w:t>
      </w:r>
    </w:p>
    <w:p>
      <w:pPr>
        <w:pStyle w:val="BodyText"/>
      </w:pPr>
      <w:r>
        <w:t xml:space="preserve">The selected texts address the critical importance of the</w:t>
      </w:r>
      <w:r>
        <w:t xml:space="preserve"> </w:t>
      </w:r>
      <w:r>
        <w:rPr>
          <w:bCs/>
          <w:b/>
        </w:rPr>
        <w:t xml:space="preserve">Auditor</w:t>
      </w:r>
      <w:r>
        <w:t xml:space="preserve"> </w:t>
      </w:r>
      <w:r>
        <w:t xml:space="preserve">in ensuring transparency amidst hyperinflation, currency controls, and complex tax regulations. These resources are essential for professionals operating in</w:t>
      </w:r>
      <w:r>
        <w:t xml:space="preserve"> </w:t>
      </w:r>
      <w:r>
        <w:rPr>
          <w:bCs/>
          <w:b/>
        </w:rPr>
        <w:t xml:space="preserve">Caracas</w:t>
      </w:r>
      <w:r>
        <w:t xml:space="preserve"> </w:t>
      </w:r>
      <w:r>
        <w:t xml:space="preserve">who must navigate the dual pressures of local compliance (such as the requirements of the</w:t>
      </w:r>
      <w:r>
        <w:t xml:space="preserve"> </w:t>
      </w:r>
      <w:r>
        <w:rPr>
          <w:iCs/>
          <w:i/>
        </w:rPr>
        <w:t xml:space="preserve">Consejo de Normas de Auditoría y Contabilidad</w:t>
      </w:r>
      <w:r>
        <w:t xml:space="preserve">) and global expectations.</w:t>
      </w:r>
    </w:p>
    <w:bookmarkEnd w:id="21"/>
    <w:bookmarkStart w:id="22" w:name="bibliographic-entries"/>
    <w:p>
      <w:pPr>
        <w:pStyle w:val="Heading2"/>
      </w:pPr>
      <w:r>
        <w:t xml:space="preserve">Bibliographic Entries</w:t>
      </w:r>
    </w:p>
    <w:p>
      <w:pPr>
        <w:pStyle w:val="FirstParagraph"/>
      </w:pPr>
      <w:r>
        <w:t xml:space="preserve"> </w:t>
      </w:r>
      <w:r>
        <w:t xml:space="preserve">Consejo de Normas de Auditoría y Contabilidad (CONAC). (2023).</w:t>
      </w:r>
      <w:r>
        <w:t xml:space="preserve"> </w:t>
      </w:r>
      <w:r>
        <w:rPr>
          <w:iCs/>
          <w:i/>
        </w:rPr>
        <w:t xml:space="preserve">Normas de Auditoría Generalmente Aceptadas en Venezuela (NAGAV)</w:t>
      </w:r>
      <w:r>
        <w:t xml:space="preserve">. Caracas: CONAC.</w:t>
      </w:r>
      <w:r>
        <w:t xml:space="preserve"> </w:t>
      </w:r>
    </w:p>
    <w:p>
      <w:pPr>
        <w:pStyle w:val="BodyText"/>
      </w:pPr>
      <w:r>
        <w:t xml:space="preserve">This foundational document outlines the Generally Accepted Auditing Standards in</w:t>
      </w:r>
      <w:r>
        <w:t xml:space="preserve"> </w:t>
      </w:r>
      <w:r>
        <w:rPr>
          <w:bCs/>
          <w:b/>
        </w:rPr>
        <w:t xml:space="preserve">Venezuela</w:t>
      </w:r>
      <w:r>
        <w:t xml:space="preserve">. For an</w:t>
      </w:r>
      <w:r>
        <w:t xml:space="preserve"> </w:t>
      </w:r>
      <w:r>
        <w:rPr>
          <w:bCs/>
          <w:b/>
        </w:rPr>
        <w:t xml:space="preserve">Auditor</w:t>
      </w:r>
      <w:r>
        <w:t xml:space="preserve"> </w:t>
      </w:r>
      <w:r>
        <w:t xml:space="preserve">practicing in</w:t>
      </w:r>
      <w:r>
        <w:t xml:space="preserve"> </w:t>
      </w:r>
      <w:r>
        <w:rPr>
          <w:bCs/>
          <w:b/>
        </w:rPr>
        <w:t xml:space="preserve">Caracas</w:t>
      </w:r>
      <w:r>
        <w:t xml:space="preserve">, this text is mandatory reading. It details the specific procedural requirements for planning, evidence gathering, and reporting within the Venezuelan legal context. The document highlights the necessity for auditors to maintain professional skepticism, a trait increasingly vital given the economic complexities in</w:t>
      </w:r>
      <w:r>
        <w:t xml:space="preserve"> </w:t>
      </w:r>
      <w:r>
        <w:rPr>
          <w:bCs/>
          <w:b/>
        </w:rPr>
        <w:t xml:space="preserve">Venezuela</w:t>
      </w:r>
      <w:r>
        <w:t xml:space="preserve">. It serves as the primary reference for ensuring that audit reports issued in</w:t>
      </w:r>
      <w:r>
        <w:t xml:space="preserve"> </w:t>
      </w:r>
      <w:r>
        <w:rPr>
          <w:bCs/>
          <w:b/>
        </w:rPr>
        <w:t xml:space="preserve">Caracas</w:t>
      </w:r>
      <w:r>
        <w:t xml:space="preserve"> </w:t>
      </w:r>
      <w:r>
        <w:t xml:space="preserve">are legally defensible and compliant with local regulatory bodies.</w:t>
      </w:r>
    </w:p>
    <w:p>
      <w:pPr>
        <w:pStyle w:val="BodyText"/>
      </w:pPr>
      <w:r>
        <w:t xml:space="preserve"> </w:t>
      </w:r>
      <w:r>
        <w:t xml:space="preserve">International Auditing and Assurance Standards Board (IAASB). (2022).</w:t>
      </w:r>
      <w:r>
        <w:t xml:space="preserve"> </w:t>
      </w:r>
      <w:r>
        <w:rPr>
          <w:iCs/>
          <w:i/>
        </w:rPr>
        <w:t xml:space="preserve">International Standards on Auditing (ISAs): Quality Management, Auditing, Review, Other Assurance, and Related Services</w:t>
      </w:r>
      <w:r>
        <w:t xml:space="preserve">. London: IAASB.</w:t>
      </w:r>
      <w:r>
        <w:t xml:space="preserve"> </w:t>
      </w:r>
    </w:p>
    <w:p>
      <w:pPr>
        <w:pStyle w:val="BodyText"/>
      </w:pPr>
      <w:r>
        <w:t xml:space="preserve">While local standards are paramount, this publication by the IAASB is critical for</w:t>
      </w:r>
      <w:r>
        <w:t xml:space="preserve"> </w:t>
      </w:r>
      <w:r>
        <w:rPr>
          <w:bCs/>
          <w:b/>
        </w:rPr>
        <w:t xml:space="preserve">Auditors</w:t>
      </w:r>
      <w:r>
        <w:t xml:space="preserve"> </w:t>
      </w:r>
      <w:r>
        <w:t xml:space="preserve">in</w:t>
      </w:r>
      <w:r>
        <w:t xml:space="preserve"> </w:t>
      </w:r>
      <w:r>
        <w:rPr>
          <w:bCs/>
          <w:b/>
        </w:rPr>
        <w:t xml:space="preserve">Caracas</w:t>
      </w:r>
      <w:r>
        <w:t xml:space="preserve"> </w:t>
      </w:r>
      <w:r>
        <w:t xml:space="preserve">working with multinational corporations or foreign investors. The text provides a global benchmark for audit quality. In the context of</w:t>
      </w:r>
      <w:r>
        <w:t xml:space="preserve"> </w:t>
      </w:r>
      <w:r>
        <w:rPr>
          <w:bCs/>
          <w:b/>
        </w:rPr>
        <w:t xml:space="preserve">Venezuela</w:t>
      </w:r>
      <w:r>
        <w:t xml:space="preserve">, where economic isolation has been a factor, aligning with ISAs demonstrates a commitment to international best practices. This resource helps the</w:t>
      </w:r>
      <w:r>
        <w:t xml:space="preserve"> </w:t>
      </w:r>
      <w:r>
        <w:rPr>
          <w:bCs/>
          <w:b/>
        </w:rPr>
        <w:t xml:space="preserve">Auditor</w:t>
      </w:r>
      <w:r>
        <w:t xml:space="preserve"> </w:t>
      </w:r>
      <w:r>
        <w:t xml:space="preserve">in</w:t>
      </w:r>
      <w:r>
        <w:t xml:space="preserve"> </w:t>
      </w:r>
      <w:r>
        <w:rPr>
          <w:bCs/>
          <w:b/>
        </w:rPr>
        <w:t xml:space="preserve">Caracas</w:t>
      </w:r>
      <w:r>
        <w:t xml:space="preserve"> </w:t>
      </w:r>
      <w:r>
        <w:t xml:space="preserve">bridge the gap between local reporting requirements and the expectations of international stakeholders, ensuring that financial statements are understood and trusted globally.</w:t>
      </w:r>
    </w:p>
    <w:p>
      <w:pPr>
        <w:pStyle w:val="BodyText"/>
      </w:pPr>
      <w:r>
        <w:t xml:space="preserve"> </w:t>
      </w:r>
      <w:r>
        <w:t xml:space="preserve">Rodríguez, M. A., &amp; Pérez, J. L. (2021).</w:t>
      </w:r>
      <w:r>
        <w:t xml:space="preserve"> </w:t>
      </w:r>
      <w:r>
        <w:rPr>
          <w:iCs/>
          <w:i/>
        </w:rPr>
        <w:t xml:space="preserve">Auditoría en Entornos de Hiperinflación: El Caso de Venezuela</w:t>
      </w:r>
      <w:r>
        <w:t xml:space="preserve">. Caracas: Editorial Jurídica Venezolana.</w:t>
      </w:r>
      <w:r>
        <w:t xml:space="preserve"> </w:t>
      </w:r>
    </w:p>
    <w:p>
      <w:pPr>
        <w:pStyle w:val="BodyText"/>
      </w:pPr>
      <w:r>
        <w:t xml:space="preserve">This academic text specifically addresses the technical challenges faced by the</w:t>
      </w:r>
      <w:r>
        <w:t xml:space="preserve"> </w:t>
      </w:r>
      <w:r>
        <w:rPr>
          <w:bCs/>
          <w:b/>
        </w:rPr>
        <w:t xml:space="preserve">Auditor</w:t>
      </w:r>
      <w:r>
        <w:t xml:space="preserve"> </w:t>
      </w:r>
      <w:r>
        <w:t xml:space="preserve">in</w:t>
      </w:r>
      <w:r>
        <w:t xml:space="preserve"> </w:t>
      </w:r>
      <w:r>
        <w:rPr>
          <w:bCs/>
          <w:b/>
        </w:rPr>
        <w:t xml:space="preserve">Venezuela</w:t>
      </w:r>
      <w:r>
        <w:t xml:space="preserve"> </w:t>
      </w:r>
      <w:r>
        <w:t xml:space="preserve">during periods of extreme inflation. It provides detailed methodologies for auditing financial statements that must be adjusted for inflationary effects, a common requirement in</w:t>
      </w:r>
      <w:r>
        <w:t xml:space="preserve"> </w:t>
      </w:r>
      <w:r>
        <w:rPr>
          <w:bCs/>
          <w:b/>
        </w:rPr>
        <w:t xml:space="preserve">Caracas</w:t>
      </w:r>
      <w:r>
        <w:t xml:space="preserve">. The authors analyze how hyperinflation distorts financial data and offer practical guidance on verifying the accuracy of inflation adjustments. This resource is indispensable for any</w:t>
      </w:r>
      <w:r>
        <w:t xml:space="preserve"> </w:t>
      </w:r>
      <w:r>
        <w:rPr>
          <w:bCs/>
          <w:b/>
        </w:rPr>
        <w:t xml:space="preserve">Auditor</w:t>
      </w:r>
      <w:r>
        <w:t xml:space="preserve"> </w:t>
      </w:r>
      <w:r>
        <w:t xml:space="preserve">in</w:t>
      </w:r>
      <w:r>
        <w:t xml:space="preserve"> </w:t>
      </w:r>
      <w:r>
        <w:rPr>
          <w:bCs/>
          <w:b/>
        </w:rPr>
        <w:t xml:space="preserve">Caracas</w:t>
      </w:r>
      <w:r>
        <w:t xml:space="preserve"> </w:t>
      </w:r>
      <w:r>
        <w:t xml:space="preserve">seeking to ensure that the financial health of a client is accurately represented despite the volatile currency environment in</w:t>
      </w:r>
      <w:r>
        <w:t xml:space="preserve"> </w:t>
      </w:r>
      <w:r>
        <w:rPr>
          <w:bCs/>
          <w:b/>
        </w:rPr>
        <w:t xml:space="preserve">Venezuela</w:t>
      </w:r>
      <w:r>
        <w:t xml:space="preserve">.</w:t>
      </w:r>
    </w:p>
    <w:p>
      <w:pPr>
        <w:pStyle w:val="BodyText"/>
      </w:pPr>
      <w:r>
        <w:t xml:space="preserve"> </w:t>
      </w:r>
      <w:r>
        <w:t xml:space="preserve">Servicio de Administración Tributaria (SAT). (2023).</w:t>
      </w:r>
      <w:r>
        <w:t xml:space="preserve"> </w:t>
      </w:r>
      <w:r>
        <w:rPr>
          <w:iCs/>
          <w:i/>
        </w:rPr>
        <w:t xml:space="preserve">Manual de Fiscalización y Control Tributario</w:t>
      </w:r>
      <w:r>
        <w:t xml:space="preserve">. Caracas: SAT.</w:t>
      </w:r>
      <w:r>
        <w:t xml:space="preserve"> </w:t>
      </w:r>
    </w:p>
    <w:p>
      <w:pPr>
        <w:pStyle w:val="BodyText"/>
      </w:pPr>
      <w:r>
        <w:t xml:space="preserve">Published by the Tax Administration Service of</w:t>
      </w:r>
      <w:r>
        <w:t xml:space="preserve"> </w:t>
      </w:r>
      <w:r>
        <w:rPr>
          <w:bCs/>
          <w:b/>
        </w:rPr>
        <w:t xml:space="preserve">Venezuela</w:t>
      </w:r>
      <w:r>
        <w:t xml:space="preserve">, this manual is essential for the</w:t>
      </w:r>
      <w:r>
        <w:t xml:space="preserve"> </w:t>
      </w:r>
      <w:r>
        <w:rPr>
          <w:bCs/>
          <w:b/>
        </w:rPr>
        <w:t xml:space="preserve">Auditor</w:t>
      </w:r>
      <w:r>
        <w:t xml:space="preserve"> </w:t>
      </w:r>
      <w:r>
        <w:t xml:space="preserve">in</w:t>
      </w:r>
      <w:r>
        <w:t xml:space="preserve"> </w:t>
      </w:r>
      <w:r>
        <w:rPr>
          <w:bCs/>
          <w:b/>
        </w:rPr>
        <w:t xml:space="preserve">Caracas</w:t>
      </w:r>
      <w:r>
        <w:t xml:space="preserve"> </w:t>
      </w:r>
      <w:r>
        <w:t xml:space="preserve">to understand the tax audit landscape. It outlines the procedures used by government auditors to assess tax compliance. By studying this document, the private</w:t>
      </w:r>
      <w:r>
        <w:t xml:space="preserve"> </w:t>
      </w:r>
      <w:r>
        <w:rPr>
          <w:bCs/>
          <w:b/>
        </w:rPr>
        <w:t xml:space="preserve">Auditor</w:t>
      </w:r>
      <w:r>
        <w:t xml:space="preserve"> </w:t>
      </w:r>
      <w:r>
        <w:t xml:space="preserve">in</w:t>
      </w:r>
      <w:r>
        <w:t xml:space="preserve"> </w:t>
      </w:r>
      <w:r>
        <w:rPr>
          <w:bCs/>
          <w:b/>
        </w:rPr>
        <w:t xml:space="preserve">Caracas</w:t>
      </w:r>
      <w:r>
        <w:t xml:space="preserve"> </w:t>
      </w:r>
      <w:r>
        <w:t xml:space="preserve">can better anticipate regulatory scrutiny and advise clients on maintaining robust internal controls. The text highlights specific areas of concern for the tax authorities in</w:t>
      </w:r>
      <w:r>
        <w:t xml:space="preserve"> </w:t>
      </w:r>
      <w:r>
        <w:rPr>
          <w:bCs/>
          <w:b/>
        </w:rPr>
        <w:t xml:space="preserve">Venezuela</w:t>
      </w:r>
      <w:r>
        <w:t xml:space="preserve">, such as transfer pricing and currency exchange reporting, making it a vital tool for risk management in</w:t>
      </w:r>
      <w:r>
        <w:t xml:space="preserve"> </w:t>
      </w:r>
      <w:r>
        <w:rPr>
          <w:bCs/>
          <w:b/>
        </w:rPr>
        <w:t xml:space="preserve">Caracas</w:t>
      </w:r>
      <w:r>
        <w:t xml:space="preserve">.</w:t>
      </w:r>
    </w:p>
    <w:p>
      <w:pPr>
        <w:pStyle w:val="BodyText"/>
      </w:pPr>
      <w:r>
        <w:t xml:space="preserve"> </w:t>
      </w:r>
      <w:r>
        <w:t xml:space="preserve">García, L. M. (2020).</w:t>
      </w:r>
      <w:r>
        <w:t xml:space="preserve"> </w:t>
      </w:r>
      <w:r>
        <w:rPr>
          <w:iCs/>
          <w:i/>
        </w:rPr>
        <w:t xml:space="preserve">Ética Profesional del Auditor en Venezuela: Desafíos y Oportunidades</w:t>
      </w:r>
      <w:r>
        <w:t xml:space="preserve">. Caracas: Universidad Central de Venezuela.</w:t>
      </w:r>
      <w:r>
        <w:t xml:space="preserve"> </w:t>
      </w:r>
    </w:p>
    <w:p>
      <w:pPr>
        <w:pStyle w:val="BodyText"/>
      </w:pPr>
      <w:r>
        <w:t xml:space="preserve">This scholarly work explores the ethical dilemmas faced by the</w:t>
      </w:r>
      <w:r>
        <w:t xml:space="preserve"> </w:t>
      </w:r>
      <w:r>
        <w:rPr>
          <w:bCs/>
          <w:b/>
        </w:rPr>
        <w:t xml:space="preserve">Auditor</w:t>
      </w:r>
      <w:r>
        <w:t xml:space="preserve"> </w:t>
      </w:r>
      <w:r>
        <w:t xml:space="preserve">in</w:t>
      </w:r>
      <w:r>
        <w:t xml:space="preserve"> </w:t>
      </w:r>
      <w:r>
        <w:rPr>
          <w:bCs/>
          <w:b/>
        </w:rPr>
        <w:t xml:space="preserve">Venezuela</w:t>
      </w:r>
      <w:r>
        <w:t xml:space="preserve">. It discusses the pressure to conform to management wishes versus the duty to report accurately, a tension that can be heightened in the economic climate of</w:t>
      </w:r>
      <w:r>
        <w:t xml:space="preserve"> </w:t>
      </w:r>
      <w:r>
        <w:rPr>
          <w:bCs/>
          <w:b/>
        </w:rPr>
        <w:t xml:space="preserve">Caracas</w:t>
      </w:r>
      <w:r>
        <w:t xml:space="preserve">. The text emphasizes the importance of integrity and objectivity for the</w:t>
      </w:r>
      <w:r>
        <w:t xml:space="preserve"> </w:t>
      </w:r>
      <w:r>
        <w:rPr>
          <w:bCs/>
          <w:b/>
        </w:rPr>
        <w:t xml:space="preserve">Auditor</w:t>
      </w:r>
      <w:r>
        <w:t xml:space="preserve"> </w:t>
      </w:r>
      <w:r>
        <w:t xml:space="preserve">in</w:t>
      </w:r>
      <w:r>
        <w:t xml:space="preserve"> </w:t>
      </w:r>
      <w:r>
        <w:rPr>
          <w:bCs/>
          <w:b/>
        </w:rPr>
        <w:t xml:space="preserve">Venezuela</w:t>
      </w:r>
      <w:r>
        <w:t xml:space="preserve">. It provides case studies relevant to the local context, illustrating how ethical lapses can undermine the credibility of the profession in</w:t>
      </w:r>
      <w:r>
        <w:t xml:space="preserve"> </w:t>
      </w:r>
      <w:r>
        <w:rPr>
          <w:bCs/>
          <w:b/>
        </w:rPr>
        <w:t xml:space="preserve">Caracas</w:t>
      </w:r>
      <w:r>
        <w:t xml:space="preserve">. This resource is crucial for maintaining high ethical standards in the auditing community of</w:t>
      </w:r>
      <w:r>
        <w:t xml:space="preserve"> </w:t>
      </w:r>
      <w:r>
        <w:rPr>
          <w:bCs/>
          <w:b/>
        </w:rPr>
        <w:t xml:space="preserve">Venezuela</w:t>
      </w:r>
      <w:r>
        <w:t xml:space="preserve">.</w:t>
      </w:r>
    </w:p>
    <w:p>
      <w:pPr>
        <w:pStyle w:val="BodyText"/>
      </w:pPr>
      <w:r>
        <w:t xml:space="preserve"> </w:t>
      </w:r>
      <w:r>
        <w:t xml:space="preserve">Instituto Venezolano de la Contaduría Pública (IVCP). (2022).</w:t>
      </w:r>
      <w:r>
        <w:t xml:space="preserve"> </w:t>
      </w:r>
      <w:r>
        <w:rPr>
          <w:iCs/>
          <w:i/>
        </w:rPr>
        <w:t xml:space="preserve">Reglamento de Ejercicio de la Contaduría Pública y Auditoría</w:t>
      </w:r>
      <w:r>
        <w:t xml:space="preserve">. Caracas: IVCP.</w:t>
      </w:r>
      <w:r>
        <w:t xml:space="preserve"> </w:t>
      </w:r>
    </w:p>
    <w:p>
      <w:pPr>
        <w:pStyle w:val="BodyText"/>
      </w:pPr>
      <w:r>
        <w:t xml:space="preserve">This regulatory document governs the practice of public accounting and auditing in</w:t>
      </w:r>
      <w:r>
        <w:t xml:space="preserve"> </w:t>
      </w:r>
      <w:r>
        <w:rPr>
          <w:bCs/>
          <w:b/>
        </w:rPr>
        <w:t xml:space="preserve">Venezuela</w:t>
      </w:r>
      <w:r>
        <w:t xml:space="preserve">. For the</w:t>
      </w:r>
      <w:r>
        <w:t xml:space="preserve"> </w:t>
      </w:r>
      <w:r>
        <w:rPr>
          <w:bCs/>
          <w:b/>
        </w:rPr>
        <w:t xml:space="preserve">Auditor</w:t>
      </w:r>
      <w:r>
        <w:t xml:space="preserve"> </w:t>
      </w:r>
      <w:r>
        <w:t xml:space="preserve">in</w:t>
      </w:r>
      <w:r>
        <w:t xml:space="preserve"> </w:t>
      </w:r>
      <w:r>
        <w:rPr>
          <w:bCs/>
          <w:b/>
        </w:rPr>
        <w:t xml:space="preserve">Caracas</w:t>
      </w:r>
      <w:r>
        <w:t xml:space="preserve">, it defines the legal scope of practice, continuing education requirements, and disciplinary procedures. The text underscores the professional responsibilities of the</w:t>
      </w:r>
      <w:r>
        <w:t xml:space="preserve"> </w:t>
      </w:r>
      <w:r>
        <w:rPr>
          <w:bCs/>
          <w:b/>
        </w:rPr>
        <w:t xml:space="preserve">Auditor</w:t>
      </w:r>
      <w:r>
        <w:t xml:space="preserve"> </w:t>
      </w:r>
      <w:r>
        <w:t xml:space="preserve">in</w:t>
      </w:r>
      <w:r>
        <w:t xml:space="preserve"> </w:t>
      </w:r>
      <w:r>
        <w:rPr>
          <w:bCs/>
          <w:b/>
        </w:rPr>
        <w:t xml:space="preserve">Venezuela</w:t>
      </w:r>
      <w:r>
        <w:t xml:space="preserve"> </w:t>
      </w:r>
      <w:r>
        <w:t xml:space="preserve">and the consequences of non-compliance. It is a key reference for understanding the legal framework within which the</w:t>
      </w:r>
      <w:r>
        <w:t xml:space="preserve"> </w:t>
      </w:r>
      <w:r>
        <w:rPr>
          <w:bCs/>
          <w:b/>
        </w:rPr>
        <w:t xml:space="preserve">Auditor</w:t>
      </w:r>
      <w:r>
        <w:t xml:space="preserve"> </w:t>
      </w:r>
      <w:r>
        <w:t xml:space="preserve">in</w:t>
      </w:r>
      <w:r>
        <w:t xml:space="preserve"> </w:t>
      </w:r>
      <w:r>
        <w:rPr>
          <w:bCs/>
          <w:b/>
        </w:rPr>
        <w:t xml:space="preserve">Caracas</w:t>
      </w:r>
      <w:r>
        <w:t xml:space="preserve"> </w:t>
      </w:r>
      <w:r>
        <w:t xml:space="preserve">must operate, ensuring that all audit engagements are conducted within the bounds of Venezuelan law.</w:t>
      </w:r>
    </w:p>
    <w:p>
      <w:pPr>
        <w:pStyle w:val="BodyText"/>
      </w:pPr>
      <w:r>
        <w:t xml:space="preserve"> </w:t>
      </w:r>
      <w:r>
        <w:t xml:space="preserve">Martínez, R. S. (2019).</w:t>
      </w:r>
      <w:r>
        <w:t xml:space="preserve"> </w:t>
      </w:r>
      <w:r>
        <w:rPr>
          <w:iCs/>
          <w:i/>
        </w:rPr>
        <w:t xml:space="preserve">Control Interno y Gestión de Riesgos en Empresas de Caracas</w:t>
      </w:r>
      <w:r>
        <w:t xml:space="preserve">. Caracas: Ediciones Ekaré.</w:t>
      </w:r>
      <w:r>
        <w:t xml:space="preserve"> </w:t>
      </w:r>
    </w:p>
    <w:p>
      <w:pPr>
        <w:pStyle w:val="BodyText"/>
      </w:pPr>
      <w:r>
        <w:t xml:space="preserve">This book focuses on internal control systems and risk management, tailored to the business environment in</w:t>
      </w:r>
      <w:r>
        <w:t xml:space="preserve"> </w:t>
      </w:r>
      <w:r>
        <w:rPr>
          <w:bCs/>
          <w:b/>
        </w:rPr>
        <w:t xml:space="preserve">Caracas</w:t>
      </w:r>
      <w:r>
        <w:t xml:space="preserve">. It provides the</w:t>
      </w:r>
      <w:r>
        <w:t xml:space="preserve"> </w:t>
      </w:r>
      <w:r>
        <w:rPr>
          <w:bCs/>
          <w:b/>
        </w:rPr>
        <w:t xml:space="preserve">Auditor</w:t>
      </w:r>
      <w:r>
        <w:t xml:space="preserve"> </w:t>
      </w:r>
      <w:r>
        <w:t xml:space="preserve">in</w:t>
      </w:r>
      <w:r>
        <w:t xml:space="preserve"> </w:t>
      </w:r>
      <w:r>
        <w:rPr>
          <w:bCs/>
          <w:b/>
        </w:rPr>
        <w:t xml:space="preserve">Venezuela</w:t>
      </w:r>
      <w:r>
        <w:t xml:space="preserve"> </w:t>
      </w:r>
      <w:r>
        <w:t xml:space="preserve">with tools to assess the effectiveness of internal controls in a context of economic uncertainty. The text highlights specific risks prevalent in</w:t>
      </w:r>
      <w:r>
        <w:t xml:space="preserve"> </w:t>
      </w:r>
      <w:r>
        <w:rPr>
          <w:bCs/>
          <w:b/>
        </w:rPr>
        <w:t xml:space="preserve">Caracas</w:t>
      </w:r>
      <w:r>
        <w:t xml:space="preserve">, such as fraud due to currency fluctuations and supply chain disruptions. By utilizing the frameworks presented in this book, the</w:t>
      </w:r>
      <w:r>
        <w:t xml:space="preserve"> </w:t>
      </w:r>
      <w:r>
        <w:rPr>
          <w:bCs/>
          <w:b/>
        </w:rPr>
        <w:t xml:space="preserve">Auditor</w:t>
      </w:r>
      <w:r>
        <w:t xml:space="preserve"> </w:t>
      </w:r>
      <w:r>
        <w:t xml:space="preserve">in</w:t>
      </w:r>
      <w:r>
        <w:t xml:space="preserve"> </w:t>
      </w:r>
      <w:r>
        <w:rPr>
          <w:bCs/>
          <w:b/>
        </w:rPr>
        <w:t xml:space="preserve">Caracas</w:t>
      </w:r>
      <w:r>
        <w:t xml:space="preserve"> </w:t>
      </w:r>
      <w:r>
        <w:t xml:space="preserve">can provide valuable insights to clients on strengthening their internal controls, thereby enhancing the reliability of financial reporting in</w:t>
      </w:r>
      <w:r>
        <w:t xml:space="preserve"> </w:t>
      </w:r>
      <w:r>
        <w:rPr>
          <w:bCs/>
          <w:b/>
        </w:rPr>
        <w:t xml:space="preserve">Venezuela</w:t>
      </w:r>
      <w:r>
        <w:t xml:space="preserve">.</w:t>
      </w:r>
    </w:p>
    <w:p>
      <w:pPr>
        <w:pStyle w:val="BodyText"/>
      </w:pPr>
      <w:r>
        <w:t xml:space="preserve"> </w:t>
      </w:r>
      <w:r>
        <w:t xml:space="preserve">World Bank. (2021).</w:t>
      </w:r>
      <w:r>
        <w:t xml:space="preserve"> </w:t>
      </w:r>
      <w:r>
        <w:rPr>
          <w:iCs/>
          <w:i/>
        </w:rPr>
        <w:t xml:space="preserve">Venezuela Economic Update: Strengthening Institutions for Recovery</w:t>
      </w:r>
      <w:r>
        <w:t xml:space="preserve">. Washington, D.C.: World Bank Group.</w:t>
      </w:r>
      <w:r>
        <w:t xml:space="preserve"> </w:t>
      </w:r>
    </w:p>
    <w:p>
      <w:pPr>
        <w:pStyle w:val="BodyText"/>
      </w:pPr>
      <w:r>
        <w:t xml:space="preserve">While not a technical auditing manual, this report provides critical macroeconomic context for the</w:t>
      </w:r>
      <w:r>
        <w:t xml:space="preserve"> </w:t>
      </w:r>
      <w:r>
        <w:rPr>
          <w:bCs/>
          <w:b/>
        </w:rPr>
        <w:t xml:space="preserve">Auditor</w:t>
      </w:r>
      <w:r>
        <w:t xml:space="preserve"> </w:t>
      </w:r>
      <w:r>
        <w:t xml:space="preserve">in</w:t>
      </w:r>
      <w:r>
        <w:t xml:space="preserve"> </w:t>
      </w:r>
      <w:r>
        <w:rPr>
          <w:bCs/>
          <w:b/>
        </w:rPr>
        <w:t xml:space="preserve">Caracas</w:t>
      </w:r>
      <w:r>
        <w:t xml:space="preserve">. It analyzes the institutional framework of</w:t>
      </w:r>
      <w:r>
        <w:t xml:space="preserve"> </w:t>
      </w:r>
      <w:r>
        <w:rPr>
          <w:bCs/>
          <w:b/>
        </w:rPr>
        <w:t xml:space="preserve">Venezuela</w:t>
      </w:r>
      <w:r>
        <w:t xml:space="preserve"> </w:t>
      </w:r>
      <w:r>
        <w:t xml:space="preserve">and the role of oversight mechanisms in economic recovery. The report highlights the importance of transparent financial reporting and effective auditing in rebuilding trust in</w:t>
      </w:r>
      <w:r>
        <w:t xml:space="preserve"> </w:t>
      </w:r>
      <w:r>
        <w:rPr>
          <w:bCs/>
          <w:b/>
        </w:rPr>
        <w:t xml:space="preserve">Venezuela</w:t>
      </w:r>
      <w:r>
        <w:t xml:space="preserve">. For the</w:t>
      </w:r>
      <w:r>
        <w:t xml:space="preserve"> </w:t>
      </w:r>
      <w:r>
        <w:rPr>
          <w:bCs/>
          <w:b/>
        </w:rPr>
        <w:t xml:space="preserve">Auditor</w:t>
      </w:r>
      <w:r>
        <w:t xml:space="preserve"> </w:t>
      </w:r>
      <w:r>
        <w:t xml:space="preserve">in</w:t>
      </w:r>
      <w:r>
        <w:t xml:space="preserve"> </w:t>
      </w:r>
      <w:r>
        <w:rPr>
          <w:bCs/>
          <w:b/>
        </w:rPr>
        <w:t xml:space="preserve">Caracas</w:t>
      </w:r>
      <w:r>
        <w:t xml:space="preserve">, this document offers a broader perspective on how their work contributes to the economic stability of</w:t>
      </w:r>
      <w:r>
        <w:t xml:space="preserve"> </w:t>
      </w:r>
      <w:r>
        <w:rPr>
          <w:bCs/>
          <w:b/>
        </w:rPr>
        <w:t xml:space="preserve">Venezuela</w:t>
      </w:r>
      <w:r>
        <w:t xml:space="preserve">. It underscores the societal role of the</w:t>
      </w:r>
      <w:r>
        <w:t xml:space="preserve"> </w:t>
      </w:r>
      <w:r>
        <w:rPr>
          <w:bCs/>
          <w:b/>
        </w:rPr>
        <w:t xml:space="preserve">Auditor</w:t>
      </w:r>
      <w:r>
        <w:t xml:space="preserve"> </w:t>
      </w:r>
      <w:r>
        <w:t xml:space="preserve">in</w:t>
      </w:r>
      <w:r>
        <w:t xml:space="preserve"> </w:t>
      </w:r>
      <w:r>
        <w:rPr>
          <w:bCs/>
          <w:b/>
        </w:rPr>
        <w:t xml:space="preserve">Caracas</w:t>
      </w:r>
      <w:r>
        <w:t xml:space="preserve"> </w:t>
      </w:r>
      <w:r>
        <w:t xml:space="preserve">as a guardian of financial integrity in a transitioning economy.</w:t>
      </w:r>
    </w:p>
    <w:bookmarkEnd w:id="22"/>
    <w:p>
      <w:pPr>
        <w:pStyle w:val="BodyText"/>
      </w:pPr>
      <w:r>
        <w:t xml:space="preserve">© 2023 Annotated Bibliography on Auditing in Venezuela. All rights reserved.</w:t>
      </w:r>
      <w:r>
        <w:br/>
      </w:r>
      <w:r>
        <w:t xml:space="preserve">This document is intended for informational purposes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Venezuela (Caracas)</dc:title>
  <dc:creator/>
  <dc:language>en</dc:language>
  <cp:keywords/>
  <dcterms:created xsi:type="dcterms:W3CDTF">2026-08-08T08:01:44Z</dcterms:created>
  <dcterms:modified xsi:type="dcterms:W3CDTF">2026-08-08T08:01:44Z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