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Melbourne</w:t>
      </w:r>
    </w:p>
    <w:bookmarkStart w:id="21" w:name="Xb56737d8386a2d72b73ad68195ef5b9436df2d1"/>
    <w:p>
      <w:pPr>
        <w:pStyle w:val="Heading1"/>
      </w:pPr>
      <w:r>
        <w:t xml:space="preserve">Annotated Bibliography: The Role of the Banker in Australia Melbourne</w:t>
      </w:r>
    </w:p>
    <w:p>
      <w:pPr>
        <w:pStyle w:val="FirstParagraph"/>
      </w:pPr>
      <w:r>
        <w:t xml:space="preserve">This annotated bibliography compiles key resources regarding the profession of banking, specifically tailored to the regulatory, economic, and cultural context of Melbourne, Australia. The entries below explore the evolution of the banker's role, the impact of the Royal Commission on Misconduct in the Banking, Superannuation, and Financial Services Industry, and the specific challenges faced by financial professionals in Victoria's capital.</w:t>
      </w:r>
    </w:p>
    <w:bookmarkStart w:id="20" w:name="references"/>
    <w:p>
      <w:pPr>
        <w:pStyle w:val="Heading2"/>
      </w:pPr>
      <w:r>
        <w:t xml:space="preserve">References</w:t>
      </w:r>
    </w:p>
    <w:p>
      <w:pPr>
        <w:pStyle w:val="FirstParagraph"/>
      </w:pPr>
      <w:r>
        <w:t xml:space="preserve">Australian Prudential Regulation Authority (APRA). (2023).</w:t>
      </w:r>
      <w:r>
        <w:t xml:space="preserve"> </w:t>
      </w:r>
      <w:r>
        <w:rPr>
          <w:iCs/>
          <w:i/>
        </w:rPr>
        <w:t xml:space="preserve">Prudential Standard CPS 520: Fit and Proper Requirements for Key Management Personnel</w:t>
      </w:r>
      <w:r>
        <w:t xml:space="preserve">. Canberra: APRA.</w:t>
      </w:r>
    </w:p>
    <w:p>
      <w:pPr>
        <w:pStyle w:val="BodyText"/>
      </w:pPr>
      <w:r>
        <w:t xml:space="preserve">This regulatory document is essential for understanding the legal obligations of bankers operating in Melbourne. Following the Royal Commission, APRA tightened the "fit and proper" tests for senior executives. For a banker in Melbourne, this standard dictates that professional competence is no longer solely about financial acumen but also about ethical leadership and risk management. The document provides the framework for how banks in Victoria assess their leadership, ensuring that bankers are held accountable for the culture they foster within their institutions. It is a critical resource for understanding the high bar of entry and retention for banking roles in Australia's financial hub.</w:t>
      </w:r>
    </w:p>
    <w:p>
      <w:pPr>
        <w:pStyle w:val="BodyText"/>
      </w:pPr>
      <w:r>
        <w:t xml:space="preserve">Commonwealth of Australia. (2019).</w:t>
      </w:r>
      <w:r>
        <w:t xml:space="preserve"> </w:t>
      </w:r>
      <w:r>
        <w:rPr>
          <w:iCs/>
          <w:i/>
        </w:rPr>
        <w:t xml:space="preserve">Final Report of the Royal Commission into Misconduct in the Banking, Superannuation and Financial Services Industry</w:t>
      </w:r>
      <w:r>
        <w:t xml:space="preserve">. Canberra: Australian Government.</w:t>
      </w:r>
    </w:p>
    <w:p>
      <w:pPr>
        <w:pStyle w:val="BodyText"/>
      </w:pPr>
      <w:r>
        <w:t xml:space="preserve">The Royal Commission report is the most significant document shaping the modern Australian banker's identity. It exposed systemic failures in major banks headquartered in Melbourne, such as the "Big Four." For any professional in Melbourne's banking sector, this report is mandatory reading. It details how a misaligned incentive structure led to poor customer outcomes. The report fundamentally shifted the banker's role from a purely sales-driven position to one requiring a duty of care. It serves as a historical baseline for understanding why current compliance measures in Melbourne are so rigorous and why the reputation of the banking sector is currently under intense scrutiny.</w:t>
      </w:r>
    </w:p>
    <w:p>
      <w:pPr>
        <w:pStyle w:val="BodyText"/>
      </w:pPr>
      <w:r>
        <w:t xml:space="preserve">Melbourne Institute of Applied Economic and Social Research. (2022).</w:t>
      </w:r>
      <w:r>
        <w:t xml:space="preserve"> </w:t>
      </w:r>
      <w:r>
        <w:rPr>
          <w:iCs/>
          <w:i/>
        </w:rPr>
        <w:t xml:space="preserve">The State of Victoria's Financial Services Sector: Trends and Outlook</w:t>
      </w:r>
      <w:r>
        <w:t xml:space="preserve">. University of Melbourne.</w:t>
      </w:r>
    </w:p>
    <w:p>
      <w:pPr>
        <w:pStyle w:val="BodyText"/>
      </w:pPr>
      <w:r>
        <w:t xml:space="preserve">This report provides a localized economic analysis of Melbourne's position as Australia's financial services capital. It highlights the concentration of banking headquarters and fintech startups in the city. For a banker, this resource offers insight into the competitive landscape of Melbourne. It discusses the shift towards digital banking and how Melbourne-based institutions are adapting to global trends. The data presented helps bankers understand the macroeconomic environment in which they operate, including housing market dynamics in Victoria and the impact of interest rate changes on local lending practices.</w:t>
      </w:r>
    </w:p>
    <w:p>
      <w:pPr>
        <w:pStyle w:val="BodyText"/>
      </w:pPr>
      <w:r>
        <w:t xml:space="preserve">Australian Securities and Investments Commission (ASIC). (2021).</w:t>
      </w:r>
      <w:r>
        <w:t xml:space="preserve"> </w:t>
      </w:r>
      <w:r>
        <w:rPr>
          <w:iCs/>
          <w:i/>
        </w:rPr>
        <w:t xml:space="preserve">RG 271: Managing conflicts of interest</w:t>
      </w:r>
      <w:r>
        <w:t xml:space="preserve">. Canberra: ASIC.</w:t>
      </w:r>
    </w:p>
    <w:p>
      <w:pPr>
        <w:pStyle w:val="BodyText"/>
      </w:pPr>
      <w:r>
        <w:t xml:space="preserve">ASIC's Regulatory Guide 271 is a practical tool for bankers dealing with ethical dilemmas. In the context of Melbourne's dense financial district, where cross-selling and complex product structures are common, managing conflicts of interest is paramount. This guide outlines how banks must identify, manage, and disclose conflicts to ensure fair treatment of customers. For a banker, this document is a daily reference for ensuring that personal or institutional gain does not override client needs. It reinforces the regulatory expectation that transparency is the cornerstone of the banker-client relationship in Australia.</w:t>
      </w:r>
    </w:p>
    <w:p>
      <w:pPr>
        <w:pStyle w:val="BodyText"/>
      </w:pPr>
      <w:r>
        <w:t xml:space="preserve">Westpac Banking Corporation. (2023).</w:t>
      </w:r>
      <w:r>
        <w:t xml:space="preserve"> </w:t>
      </w:r>
      <w:r>
        <w:rPr>
          <w:iCs/>
          <w:i/>
        </w:rPr>
        <w:t xml:space="preserve">Annual Report: Building Trust and Resilience</w:t>
      </w:r>
      <w:r>
        <w:t xml:space="preserve">. Sydney: Westpac Group.</w:t>
      </w:r>
    </w:p>
    <w:p>
      <w:pPr>
        <w:pStyle w:val="BodyText"/>
      </w:pPr>
      <w:r>
        <w:t xml:space="preserve">As one of the major banks with deep roots in Melbourne, Westpac's annual report offers a case study in corporate governance reform. The report details the bank's efforts to rebuild trust following the Royal Commission. It provides insight into how a major Australian bank is restructuring its culture, compensation models, and risk frameworks. For bankers in Melbourne, this document illustrates the practical application of regulatory changes. It shows how leadership is communicating new values to employees and stakeholders, emphasizing that the modern banker must be a steward of trust rather than just a facilitator of transactions.</w:t>
      </w:r>
    </w:p>
    <w:p>
      <w:pPr>
        <w:pStyle w:val="BodyText"/>
      </w:pPr>
      <w:r>
        <w:t xml:space="preserve">Reserve Bank of Australia (RBA). (2023).</w:t>
      </w:r>
      <w:r>
        <w:t xml:space="preserve"> </w:t>
      </w:r>
      <w:r>
        <w:rPr>
          <w:iCs/>
          <w:i/>
        </w:rPr>
        <w:t xml:space="preserve">Financial Stability Review: June 2023</w:t>
      </w:r>
      <w:r>
        <w:t xml:space="preserve">. Sydney: RBA.</w:t>
      </w:r>
    </w:p>
    <w:p>
      <w:pPr>
        <w:pStyle w:val="BodyText"/>
      </w:pPr>
      <w:r>
        <w:t xml:space="preserve">The RBA's Financial Stability Review is crucial for bankers to understand the broader monetary policy environment affecting Australia. While the RBA is based in Sydney, its policies directly impact lending practices in Melbourne. The review discusses housing affordability, household debt levels, and systemic risks. For a banker in Melbourne, where the housing market is a significant driver of economic activity, this report is vital for risk assessment. It helps bankers anticipate changes in interest rates and regulatory expectations, allowing them to advise clients more effectively and manage their institution's exposure to economic shocks.</w:t>
      </w:r>
    </w:p>
    <w:p>
      <w:pPr>
        <w:pStyle w:val="BodyText"/>
      </w:pPr>
      <w:r>
        <w:t xml:space="preserve">Institute of Public Administration Australia (IPAA). (2022).</w:t>
      </w:r>
      <w:r>
        <w:t xml:space="preserve"> </w:t>
      </w:r>
      <w:r>
        <w:rPr>
          <w:iCs/>
          <w:i/>
        </w:rPr>
        <w:t xml:space="preserve">Ethics in Financial Services: A Guide for Professionals</w:t>
      </w:r>
      <w:r>
        <w:t xml:space="preserve">. Canberra: IPAA.</w:t>
      </w:r>
    </w:p>
    <w:p>
      <w:pPr>
        <w:pStyle w:val="BodyText"/>
      </w:pPr>
      <w:r>
        <w:t xml:space="preserve">This guide addresses the ethical dimensions of banking, which have become increasingly important in the Australian context. It provides a framework for ethical decision-making that goes beyond legal compliance. For bankers in Melbourne, this resource is valuable for navigating complex situations where the law may not provide clear answers. It emphasizes the importance of integrity, accountability, and social responsibility. The guide helps bankers understand their role in society and the impact of their decisions on the broader community, aligning with the growing expectation for financial institutions to contribute positively to social outcomes.</w:t>
      </w:r>
    </w:p>
    <w:p>
      <w:pPr>
        <w:pStyle w:val="BodyText"/>
      </w:pPr>
      <w:r>
        <w:t xml:space="preserve">Deloitte Access Economics. (2023).</w:t>
      </w:r>
      <w:r>
        <w:t xml:space="preserve"> </w:t>
      </w:r>
      <w:r>
        <w:rPr>
          <w:iCs/>
          <w:i/>
        </w:rPr>
        <w:t xml:space="preserve">The Future of Banking in Australia: Digital Transformation and Customer Expectations</w:t>
      </w:r>
      <w:r>
        <w:t xml:space="preserve">. Melbourne: Deloitte.</w:t>
      </w:r>
    </w:p>
    <w:p>
      <w:pPr>
        <w:pStyle w:val="BodyText"/>
      </w:pPr>
      <w:r>
        <w:t xml:space="preserve">This report explores the technological changes reshaping the banking industry in Australia, with a focus on Melbourne's growing fintech ecosystem. It discusses how digital banking, artificial intelligence, and blockchain are changing the banker's role. For professionals in Melbourne, this resource highlights the need for continuous learning and adaptation. It suggests that the future banker must be tech-savvy and capable of managing digital relationships with customers. The report also addresses the challenges of cybersecurity and data privacy, which are critical concerns for banks operating in a highly connected urban environment like Melbourne.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Australia Melbourne</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