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Sydney</w:t>
      </w:r>
    </w:p>
    <w:bookmarkStart w:id="21" w:name="Xe1d12e1cfce84d5f3b60848257be65bf5143537"/>
    <w:p>
      <w:pPr>
        <w:pStyle w:val="Heading1"/>
      </w:pPr>
      <w:r>
        <w:t xml:space="preserve">Annotated Bibliography: The Role of the Banker in Australia Sydney</w:t>
      </w:r>
    </w:p>
    <w:p>
      <w:pPr>
        <w:pStyle w:val="FirstParagraph"/>
      </w:pPr>
      <w:r>
        <w:t xml:space="preserve">This annotated bibliography provides a comprehensive overview of key literature regarding the profession of the banker within the specific context of Australia Sydney. The selected sources examine the regulatory environment, ethical obligations, technological disruptions, and the evolving relationship between financial institutions and the Sydney community. These references are essential for understanding how the role of the banker has shifted from traditional transaction processing to complex risk management and strategic advisory in one of the world's leading financial hubs.</w:t>
      </w:r>
    </w:p>
    <w:bookmarkStart w:id="20" w:name="references"/>
    <w:p>
      <w:pPr>
        <w:pStyle w:val="Heading2"/>
      </w:pPr>
      <w:r>
        <w:t xml:space="preserve">References</w:t>
      </w:r>
    </w:p>
    <w:p>
      <w:pPr>
        <w:pStyle w:val="FirstParagraph"/>
      </w:pPr>
      <w:r>
        <w:t xml:space="preserve">Australian Prudential Regulation Authority (APRA). (2023).</w:t>
      </w:r>
      <w:r>
        <w:t xml:space="preserve"> </w:t>
      </w:r>
      <w:r>
        <w:rPr>
          <w:iCs/>
          <w:i/>
        </w:rPr>
        <w:t xml:space="preserve">Prudential Standard CPS 220: Operational Risk</w:t>
      </w:r>
      <w:r>
        <w:t xml:space="preserve">. Sydney: APRA.</w:t>
      </w:r>
    </w:p>
    <w:p>
      <w:pPr>
        <w:pStyle w:val="BodyText"/>
      </w:pPr>
      <w:r>
        <w:t xml:space="preserve">This document is a critical regulatory framework issued by the Australian Prudential Regulation Authority, which is headquartered in Sydney. It outlines the mandatory requirements for banks to manage operational risk effectively. For a banker operating in Australia Sydney, this standard is not merely a guideline but a legal imperative. The annotation highlights that the modern banker must possess a deep understanding of compliance and risk mitigation strategies. The text details how banks must identify, assess, and monitor risks associated with internal processes, people, and systems. This source is particularly relevant as it defines the baseline of professional responsibility for bankers in the region, ensuring that financial stability is maintained amidst the high-pressure environment of the Sydney financial district.</w:t>
      </w:r>
    </w:p>
    <w:p>
      <w:pPr>
        <w:pStyle w:val="BodyText"/>
      </w:pPr>
      <w:r>
        <w:t xml:space="preserve">Reserve Bank of Australia (RBA). (2022).</w:t>
      </w:r>
      <w:r>
        <w:t xml:space="preserve"> </w:t>
      </w:r>
      <w:r>
        <w:rPr>
          <w:iCs/>
          <w:i/>
        </w:rPr>
        <w:t xml:space="preserve">Financial Stability Review: June 2022</w:t>
      </w:r>
      <w:r>
        <w:t xml:space="preserve">. Sydney: Reserve Bank of Australia.</w:t>
      </w:r>
    </w:p>
    <w:p>
      <w:pPr>
        <w:pStyle w:val="BodyText"/>
      </w:pPr>
      <w:r>
        <w:t xml:space="preserve">Published by the central bank of Australia, this report offers a macroeconomic perspective on the banking sector's health. It is an indispensable resource for understanding the broader economic landscape in which Sydney bankers operate. The review discusses housing market trends, credit growth, and the impact of interest rate changes on the Australian economy. For a banker in Australia Sydney, this literature provides the necessary context for making informed lending decisions and advising clients. It underscores the banker's role as a steward of economic stability, requiring them to balance profitability with the need to prevent systemic risks. The report is vital for analyzing how national monetary policy directly influences daily banking operations in the capital city.</w:t>
      </w:r>
    </w:p>
    <w:p>
      <w:pPr>
        <w:pStyle w:val="BodyText"/>
      </w:pPr>
      <w:r>
        <w:t xml:space="preserve">ASIC. (2021).</w:t>
      </w:r>
      <w:r>
        <w:t xml:space="preserve"> </w:t>
      </w:r>
      <w:r>
        <w:rPr>
          <w:iCs/>
          <w:i/>
        </w:rPr>
        <w:t xml:space="preserve">Corporate Plan 2021-2025: Protecting consumers, investors and markets</w:t>
      </w:r>
      <w:r>
        <w:t xml:space="preserve">. Sydney: Australian Securities and Investments Commission.</w:t>
      </w:r>
    </w:p>
    <w:p>
      <w:pPr>
        <w:pStyle w:val="BodyText"/>
      </w:pPr>
      <w:r>
        <w:t xml:space="preserve">The Australian Securities and Investments Commission (ASIC) plays a pivotal role in regulating financial services in Australia. This corporate plan outlines the regulator's focus on consumer protection and market integrity. For the banker in Australia Sydney, this document is crucial as it emphasizes the ethical dimension of the profession. It highlights the increasing scrutiny on how banks treat customers, particularly regarding fees, disclosures, and advice quality. The source suggests that the modern banker must prioritize transparency and fairness to maintain public trust. This is especially pertinent in Sydney, where the concentration of financial institutions means that reputational risk can spread rapidly. The literature serves as a reminder that regulatory compliance is inextricably linked to ethical banking practices.</w:t>
      </w:r>
    </w:p>
    <w:p>
      <w:pPr>
        <w:pStyle w:val="BodyText"/>
      </w:pPr>
      <w:r>
        <w:t xml:space="preserve">Westpac Banking Corporation. (2023).</w:t>
      </w:r>
      <w:r>
        <w:t xml:space="preserve"> </w:t>
      </w:r>
      <w:r>
        <w:rPr>
          <w:iCs/>
          <w:i/>
        </w:rPr>
        <w:t xml:space="preserve">Annual Report 2023</w:t>
      </w:r>
      <w:r>
        <w:t xml:space="preserve">. Sydney: Westpac.</w:t>
      </w:r>
    </w:p>
    <w:p>
      <w:pPr>
        <w:pStyle w:val="BodyText"/>
      </w:pPr>
      <w:r>
        <w:t xml:space="preserve">As one of the "Big Four" banks with its headquarters in Sydney, Westpac's annual report provides a practical insight into the operations of a major Australian financial institution. This source is valuable for understanding the strategic priorities of a banker in the current market. The report details the bank's approach to digital transformation, sustainability, and community engagement. It illustrates how the role of the banker is expanding to include environmental, social, and governance (ESG) considerations. For a professional in Australia Sydney, this document demonstrates the expectation that bankers will not only manage financial assets but also contribute to sustainable development goals. It offers a real-world example of how large-scale banking operations are adapting to changing societal expectations.</w:t>
      </w:r>
    </w:p>
    <w:p>
      <w:pPr>
        <w:pStyle w:val="BodyText"/>
      </w:pPr>
      <w:r>
        <w:t xml:space="preserve">Commonwealth Bank of Australia (CBA). (2022).</w:t>
      </w:r>
      <w:r>
        <w:t xml:space="preserve"> </w:t>
      </w:r>
      <w:r>
        <w:rPr>
          <w:iCs/>
          <w:i/>
        </w:rPr>
        <w:t xml:space="preserve">Technology and Innovation Strategy</w:t>
      </w:r>
      <w:r>
        <w:t xml:space="preserve">. Sydney: CBA.</w:t>
      </w:r>
    </w:p>
    <w:p>
      <w:pPr>
        <w:pStyle w:val="BodyText"/>
      </w:pPr>
      <w:r>
        <w:t xml:space="preserve">This strategic document from the Commonwealth Bank of Australia highlights the technological revolution reshaping the banking industry in Australia Sydney. It discusses the integration of artificial intelligence, blockchain, and mobile banking solutions. For the contemporary banker, this literature is essential as it outlines the need for digital literacy and adaptability. The source argues that technology is not just a support function but a core driver of customer experience and operational efficiency. Bankers in Sydney must be proficient in leveraging these tools to provide personalized services and streamline processes. This reference underscores the shift from traditional branch-based banking to a digital-first model, requiring bankers to be tech-savvy and innovative.</w:t>
      </w:r>
    </w:p>
    <w:p>
      <w:pPr>
        <w:pStyle w:val="BodyText"/>
      </w:pPr>
      <w:r>
        <w:t xml:space="preserve">Australian Institute of Company Directors (AICD). (2023).</w:t>
      </w:r>
      <w:r>
        <w:t xml:space="preserve"> </w:t>
      </w:r>
      <w:r>
        <w:rPr>
          <w:iCs/>
          <w:i/>
        </w:rPr>
        <w:t xml:space="preserve">Directors' Guide to Financial Risk Management</w:t>
      </w:r>
      <w:r>
        <w:t xml:space="preserve">. Sydney: AICD.</w:t>
      </w:r>
    </w:p>
    <w:p>
      <w:pPr>
        <w:pStyle w:val="BodyText"/>
      </w:pPr>
      <w:r>
        <w:t xml:space="preserve">While primarily aimed at directors, this guide is highly relevant for senior bankers in Australia Sydney who often interact with corporate boards. It provides a framework for understanding and managing financial risks at the organizational level. The source emphasizes the importance of governance and oversight in the banking sector. For a banker, this literature offers insights into the expectations of corporate clients and the need for robust risk management practices. It highlights the banker's role as a trusted advisor who can help businesses navigate complex financial landscapes. The guide is particularly useful for understanding the intersection of banking and corporate governance in the Sydney business environment.</w:t>
      </w:r>
    </w:p>
    <w:p>
      <w:pPr>
        <w:pStyle w:val="BodyText"/>
      </w:pPr>
      <w:r>
        <w:t xml:space="preserve">National Australia Bank (NAB). (2023).</w:t>
      </w:r>
      <w:r>
        <w:t xml:space="preserve"> </w:t>
      </w:r>
      <w:r>
        <w:rPr>
          <w:iCs/>
          <w:i/>
        </w:rPr>
        <w:t xml:space="preserve">Sustainability Report 2023</w:t>
      </w:r>
      <w:r>
        <w:t xml:space="preserve">. Sydney: NAB.</w:t>
      </w:r>
    </w:p>
    <w:p>
      <w:pPr>
        <w:pStyle w:val="BodyText"/>
      </w:pPr>
      <w:r>
        <w:t xml:space="preserve">This report from National Australia Bank focuses on the bank's commitment to sustainability and responsible banking. It is a key resource for understanding the growing importance of ESG factors in the banking sector in Australia Sydney. The document details NAB's initiatives to reduce carbon emissions, support renewable energy projects, and promote financial inclusion. For a banker, this source illustrates the need to align financial strategies with sustainability goals. It shows how bankers can drive positive social and environmental outcomes through their lending and investment decisions. The report is essential for anyone looking to understand the evolving role of the banker as a catalyst for sustainable development in the region.</w:t>
      </w:r>
    </w:p>
    <w:p>
      <w:pPr>
        <w:pStyle w:val="BodyText"/>
      </w:pPr>
      <w:r>
        <w:t xml:space="preserve">Bankers Association of Australia and New Zealand (BAANZ). (2022).</w:t>
      </w:r>
      <w:r>
        <w:t xml:space="preserve"> </w:t>
      </w:r>
      <w:r>
        <w:rPr>
          <w:iCs/>
          <w:i/>
        </w:rPr>
        <w:t xml:space="preserve">Industry Outlook: The Future of Banking in Australia</w:t>
      </w:r>
      <w:r>
        <w:t xml:space="preserve">. Sydney: BAANZ.</w:t>
      </w:r>
    </w:p>
    <w:p>
      <w:pPr>
        <w:pStyle w:val="BodyText"/>
      </w:pPr>
      <w:r>
        <w:t xml:space="preserve">This publication by the Bankers Association of Australia and New Zealand provides a forward-looking perspective on the banking industry. It discusses emerging trends, challenges, and opportunities for bankers in Australia Sydney. The source covers topics such as competition from fintech startups, changing customer behaviors, and the impact of global economic uncertainties. For a banker, this literature is valuable for strategic planning and career development. It highlights the need for continuous learning and adaptation to stay relevant in a rapidly changing industry. The report offers a comprehensive overview of the future landscape, helping bankers anticipate and respond to upcoming changes in the Sydney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Australia Sydney</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