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Brussels,</w:t>
      </w:r>
      <w:r>
        <w:t xml:space="preserve"> </w:t>
      </w:r>
      <w:r>
        <w:t xml:space="preserve">Belgium</w:t>
      </w:r>
    </w:p>
    <w:bookmarkStart w:id="24" w:name="X8ca781aa8c365e2f67ac0c7297a79af7904909b"/>
    <w:p>
      <w:pPr>
        <w:pStyle w:val="Heading1"/>
      </w:pPr>
      <w:r>
        <w:t xml:space="preserve">Annotated Bibliography: The Role and Regulation of the Banker in Brussels, Belgium</w:t>
      </w:r>
    </w:p>
    <w:p>
      <w:pPr>
        <w:pStyle w:val="FirstParagraph"/>
      </w:pPr>
      <w:r>
        <w:t xml:space="preserve">Brussels serves as the financial heart of Belgium and a critical node in the European financial architecture. As the de facto capital of the European Union, the city hosts a unique ecosystem where national banking practices intersect with supranational regulatory frameworks. This annotated bibliography compiles essential resources regarding the professional, legal, and ethical dimensions of the banker operating within Brussels. The selected works address the specific regulatory environment enforced by the National Bank of Belgium (NBB), the influence of European Central Bank (ECB) policies, and the evolving responsibilities of financial professionals in a multicultural, highly regulated environment.</w:t>
      </w:r>
    </w:p>
    <w:bookmarkStart w:id="20" w:name="regulatory-frameworks-and-supervision"/>
    <w:p>
      <w:pPr>
        <w:pStyle w:val="Heading2"/>
      </w:pPr>
      <w:r>
        <w:t xml:space="preserve">Regulatory Frameworks and Supervision</w:t>
      </w:r>
    </w:p>
    <w:p>
      <w:pPr>
        <w:pStyle w:val="FirstParagraph"/>
      </w:pPr>
      <w:r>
        <w:t xml:space="preserve">National Bank of Belgium. (2023).</w:t>
      </w:r>
      <w:r>
        <w:t xml:space="preserve"> </w:t>
      </w:r>
      <w:r>
        <w:rPr>
          <w:iCs/>
          <w:i/>
        </w:rPr>
        <w:t xml:space="preserve">Prudential Supervision: Guidelines for Credit Institutions.</w:t>
      </w:r>
      <w:r>
        <w:t xml:space="preserve"> </w:t>
      </w:r>
      <w:r>
        <w:t xml:space="preserve">Brussels: NBB Publications.</w:t>
      </w:r>
    </w:p>
    <w:p>
      <w:pPr>
        <w:pStyle w:val="BodyText"/>
      </w:pPr>
      <w:r>
        <w:t xml:space="preserve">This official publication from the National Bank of Belgium is a foundational text for any banker operating in Brussels. It details the specific prudential requirements that credit institutions must meet under Belgian law. The document outlines capital adequacy ratios, liquidity standards, and governance structures required for banks headquartered in or operating within Brussels. For the modern banker, this text is indispensable for understanding the local application of Basel III standards. It highlights the rigorous oversight mechanisms in place to ensure financial stability within the Belgian market, emphasizing the banker's duty to maintain robust risk management frameworks.</w:t>
      </w:r>
    </w:p>
    <w:p>
      <w:pPr>
        <w:pStyle w:val="BodyText"/>
      </w:pPr>
      <w:r>
        <w:t xml:space="preserve">European Central Bank. (2022).</w:t>
      </w:r>
      <w:r>
        <w:t xml:space="preserve"> </w:t>
      </w:r>
      <w:r>
        <w:rPr>
          <w:iCs/>
          <w:i/>
        </w:rPr>
        <w:t xml:space="preserve">The Single Supervisory Mechanism: Annual Report on Supervisory Activities.</w:t>
      </w:r>
      <w:r>
        <w:t xml:space="preserve"> </w:t>
      </w:r>
      <w:r>
        <w:t xml:space="preserve">Frankfurt am Main: ECB.</w:t>
      </w:r>
    </w:p>
    <w:p>
      <w:pPr>
        <w:pStyle w:val="BodyText"/>
      </w:pPr>
      <w:r>
        <w:t xml:space="preserve">While published in Frankfurt, this report is critical for bankers in Brussels due to the city's status as a host to numerous significant financial institutions subject to the Single Supervisory Mechanism (SSM). The report provides an in-depth analysis of how the ECB supervises banks across the Eurozone, including those in Belgium. It offers insights into the expectations regarding corporate governance, non-performing loans, and climate risk integration. For a banker in Brussels, this document clarifies the dual-layer supervision they face: national oversight by the NBB and direct or indirect oversight by the ECB, shaping daily compliance and strategic decision-making.</w:t>
      </w:r>
    </w:p>
    <w:bookmarkEnd w:id="20"/>
    <w:bookmarkStart w:id="21" w:name="Xe7ef3c23bcea79c79d0979ffa028c5040db7341"/>
    <w:p>
      <w:pPr>
        <w:pStyle w:val="Heading2"/>
      </w:pPr>
      <w:r>
        <w:t xml:space="preserve">Ethics, Compliance, and Anti-Money Laundering</w:t>
      </w:r>
    </w:p>
    <w:p>
      <w:pPr>
        <w:pStyle w:val="FirstParagraph"/>
      </w:pPr>
      <w:r>
        <w:t xml:space="preserve">Belgian Federal Public Service Economy. (2021).</w:t>
      </w:r>
      <w:r>
        <w:t xml:space="preserve"> </w:t>
      </w:r>
      <w:r>
        <w:rPr>
          <w:iCs/>
          <w:i/>
        </w:rPr>
        <w:t xml:space="preserve">Anti-Money Laundering and Counter-Terrorist Financing: Obligations for Financial Institutions.</w:t>
      </w:r>
      <w:r>
        <w:t xml:space="preserve"> </w:t>
      </w:r>
      <w:r>
        <w:t xml:space="preserve">Brussels: FPS Economy.</w:t>
      </w:r>
    </w:p>
    <w:p>
      <w:pPr>
        <w:pStyle w:val="BodyText"/>
      </w:pPr>
      <w:r>
        <w:t xml:space="preserve">Brussels, as a hub for international diplomacy and trade, is a focal point for anti-money laundering (AML) efforts. This document outlines the strict legal obligations imposed on bankers in Belgium regarding customer due diligence, transaction monitoring, and reporting suspicious activities. It reflects the transposition of European Union directives into Belgian law. The text is essential for compliance officers and relationship managers in Brussels, as it defines the legal boundaries of client interactions. It underscores the banker's role as a gatekeeper in the financial system, requiring vigilance against illicit financial flows that may exploit the city's international connectivity.</w:t>
      </w:r>
    </w:p>
    <w:p>
      <w:pPr>
        <w:pStyle w:val="BodyText"/>
      </w:pPr>
      <w:r>
        <w:t xml:space="preserve">Van den Bergh, R. (2020).</w:t>
      </w:r>
      <w:r>
        <w:t xml:space="preserve"> </w:t>
      </w:r>
      <w:r>
        <w:rPr>
          <w:iCs/>
          <w:i/>
        </w:rPr>
        <w:t xml:space="preserve">Ethics in Banking: The Belgian Perspective.</w:t>
      </w:r>
      <w:r>
        <w:t xml:space="preserve"> </w:t>
      </w:r>
      <w:r>
        <w:t xml:space="preserve">Antwerp: Intersentia.</w:t>
      </w:r>
    </w:p>
    <w:p>
      <w:pPr>
        <w:pStyle w:val="BodyText"/>
      </w:pPr>
      <w:r>
        <w:t xml:space="preserve">This academic work explores the ethical dilemmas faced by bankers in Belgium, with specific case studies relevant to the Brussels financial district. Van den Bergh discusses the tension between profit maximization and social responsibility, a theme particularly relevant in Brussels given the city's proximity to EU policy-making bodies focused on sustainable finance. The book provides a nuanced analysis of professional conduct, confidentiality, and conflict of interest. It serves as a valuable resource for bankers seeking to navigate the complex moral landscape of modern finance, offering guidance on maintaining integrity while operating in a highly competitive and scrutinized environment.</w:t>
      </w:r>
    </w:p>
    <w:bookmarkEnd w:id="21"/>
    <w:bookmarkStart w:id="22" w:name="X497ad4ccb702ab300eef839868766a066b89070"/>
    <w:p>
      <w:pPr>
        <w:pStyle w:val="Heading2"/>
      </w:pPr>
      <w:r>
        <w:t xml:space="preserve">Market Dynamics and International Finance</w:t>
      </w:r>
    </w:p>
    <w:p>
      <w:pPr>
        <w:pStyle w:val="FirstParagraph"/>
      </w:pPr>
      <w:r>
        <w:t xml:space="preserve">Brussels Financial District. (2023).</w:t>
      </w:r>
      <w:r>
        <w:t xml:space="preserve"> </w:t>
      </w:r>
      <w:r>
        <w:rPr>
          <w:iCs/>
          <w:i/>
        </w:rPr>
        <w:t xml:space="preserve">The Brussels Financial Ecosystem: Opportunities and Challenges.</w:t>
      </w:r>
      <w:r>
        <w:t xml:space="preserve"> </w:t>
      </w:r>
      <w:r>
        <w:t xml:space="preserve">Brussels: BFD.</w:t>
      </w:r>
    </w:p>
    <w:p>
      <w:pPr>
        <w:pStyle w:val="BodyText"/>
      </w:pPr>
      <w:r>
        <w:t xml:space="preserve">This report provides a comprehensive overview of the financial landscape in Brussels, highlighting the city's unique position as a center for Islamic finance, fintech, and traditional banking. It details the collaborative efforts between public authorities and private banks to foster innovation and attract international talent. For a banker, this document offers strategic insights into market trends, networking opportunities, and the regulatory support available for new financial products. It emphasizes the importance of adaptability and innovation for bankers wishing to thrive in Brussels' dynamic and diverse financial sector.</w:t>
      </w:r>
    </w:p>
    <w:p>
      <w:pPr>
        <w:pStyle w:val="BodyText"/>
      </w:pPr>
      <w:r>
        <w:t xml:space="preserve">De Grauwe, P. (2019).</w:t>
      </w:r>
      <w:r>
        <w:t xml:space="preserve"> </w:t>
      </w:r>
      <w:r>
        <w:rPr>
          <w:iCs/>
          <w:i/>
        </w:rPr>
        <w:t xml:space="preserve">Monetary Policy in the Euro Area: Implications for Belgian Banks.</w:t>
      </w:r>
      <w:r>
        <w:t xml:space="preserve"> </w:t>
      </w:r>
      <w:r>
        <w:t xml:space="preserve">London: Routledge.</w:t>
      </w:r>
    </w:p>
    <w:p>
      <w:pPr>
        <w:pStyle w:val="BodyText"/>
      </w:pPr>
      <w:r>
        <w:t xml:space="preserve">Written by a prominent Belgian economist, this book analyzes the impact of Eurozone monetary policy on national banking systems, with a focus on Belgium. It explains how interest rate decisions by the ECB affect lending practices, profitability, and risk management for banks in Brussels. The text is crucial for bankers involved in treasury operations, asset-liability management, and strategic planning. It provides a macroeconomic context for understanding the constraints and opportunities facing Belgian bankers, illustrating how supranational policies directly influence local banking operations and customer services.</w:t>
      </w:r>
    </w:p>
    <w:bookmarkEnd w:id="22"/>
    <w:bookmarkStart w:id="23" w:name="future-trends-and-sustainability"/>
    <w:p>
      <w:pPr>
        <w:pStyle w:val="Heading2"/>
      </w:pPr>
      <w:r>
        <w:t xml:space="preserve">Future Trends and Sustainability</w:t>
      </w:r>
    </w:p>
    <w:p>
      <w:pPr>
        <w:pStyle w:val="FirstParagraph"/>
      </w:pPr>
      <w:r>
        <w:t xml:space="preserve">European Commission. (2022).</w:t>
      </w:r>
      <w:r>
        <w:t xml:space="preserve"> </w:t>
      </w:r>
      <w:r>
        <w:rPr>
          <w:iCs/>
          <w:i/>
        </w:rPr>
        <w:t xml:space="preserve">Sustainable Finance Disclosure Regulation (SFDR): Guidelines for Financial Market Participants.</w:t>
      </w:r>
      <w:r>
        <w:t xml:space="preserve"> </w:t>
      </w:r>
      <w:r>
        <w:t xml:space="preserve">Brussels: EC.</w:t>
      </w:r>
    </w:p>
    <w:p>
      <w:pPr>
        <w:pStyle w:val="BodyText"/>
      </w:pPr>
      <w:r>
        <w:t xml:space="preserve">As Brussels is the seat of the European Commission, this regulation is particularly significant for bankers in the city. The SFDR mandates transparency regarding the environmental and social impact of financial products. This document guides bankers on how to classify, report, and market sustainable investment products in compliance with EU law. It reflects a major shift in the banking profession, requiring bankers in Brussels to integrate ESG (Environmental, Social, and Governance) criteria into their core business models. Understanding this regulation is essential for bankers aiming to meet the growing demand for green finance and to avoid regulatory penalties.</w:t>
      </w:r>
    </w:p>
    <w:p>
      <w:pPr>
        <w:pStyle w:val="BodyText"/>
      </w:pPr>
      <w:r>
        <w:t xml:space="preserve">Belgian Fintech Association. (2023).</w:t>
      </w:r>
      <w:r>
        <w:t xml:space="preserve"> </w:t>
      </w:r>
      <w:r>
        <w:rPr>
          <w:iCs/>
          <w:i/>
        </w:rPr>
        <w:t xml:space="preserve">Digital Transformation in Belgian Banking: A Brussels Perspective.</w:t>
      </w:r>
      <w:r>
        <w:t xml:space="preserve"> </w:t>
      </w:r>
      <w:r>
        <w:t xml:space="preserve">Brussels: BFA.</w:t>
      </w:r>
    </w:p>
    <w:p>
      <w:pPr>
        <w:pStyle w:val="BodyText"/>
      </w:pPr>
      <w:r>
        <w:t xml:space="preserve">This report examines the rapid digitalization of the banking sector in Belgium, with a focus on innovations emerging from Brussels. It discusses the adoption of artificial intelligence, blockchain, and open banking APIs by traditional banks and fintech startups. For bankers, this document highlights the necessity of digital literacy and the strategic importance of partnering with technology firms. It provides a forward-looking analysis of how the role of the banker is evolving from a transactional intermediary to a digital advisor, emphasizing the need for continuous learning and adaptation in the Brussels market.</w:t>
      </w:r>
    </w:p>
    <w:p>
      <w:pPr>
        <w:pStyle w:val="BodyText"/>
      </w:pPr>
      <w:r>
        <w:t xml:space="preserve">Document generated for educational and informational purposes regarding the banking sector in Brussels, Belgium.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Brussels, Belgium</dc:title>
  <dc:creator/>
  <dc:language>en</dc:language>
  <cp:keywords/>
  <dcterms:created xsi:type="dcterms:W3CDTF">2026-08-06T23:01:45Z</dcterms:created>
  <dcterms:modified xsi:type="dcterms:W3CDTF">2026-08-06T23:01:45Z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