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The Evolving Role of the Banker in Medellín, Colombia</w:t>
      </w:r>
    </w:p>
    <w:bookmarkEnd w:id="20"/>
    <w:bookmarkStart w:id="21" w:name="introduction"/>
    <w:p>
      <w:pPr>
        <w:pStyle w:val="Heading2"/>
      </w:pPr>
      <w:r>
        <w:t xml:space="preserve">Introduction</w:t>
      </w:r>
    </w:p>
    <w:p>
      <w:pPr>
        <w:pStyle w:val="FirstParagraph"/>
      </w:pPr>
      <w:r>
        <w:t xml:space="preserve">This annotated bibliography explores the multifaceted role of the</w:t>
      </w:r>
      <w:r>
        <w:t xml:space="preserve"> </w:t>
      </w:r>
      <w:r>
        <w:rPr>
          <w:bCs/>
          <w:b/>
        </w:rPr>
        <w:t xml:space="preserve">banker</w:t>
      </w:r>
      <w:r>
        <w:t xml:space="preserve"> </w:t>
      </w:r>
      <w:r>
        <w:t xml:space="preserve">within the specific economic and social context of</w:t>
      </w:r>
      <w:r>
        <w:t xml:space="preserve"> </w:t>
      </w:r>
      <w:r>
        <w:rPr>
          <w:bCs/>
          <w:b/>
        </w:rPr>
        <w:t xml:space="preserve">Colombia Medellín</w:t>
      </w:r>
      <w:r>
        <w:t xml:space="preserve">. As the second-largest city in Colombia and a global hub for innovation and urban transformation, Medellín presents a unique landscape for financial professionals. The documents selected below highlight the intersection of traditional banking, fintech innovation, regulatory compliance, and social responsibility. They provide a comprehensive overview of how bankers in Medellín are adapting to a rapidly changing financial ecosystem while addressing the unique challenges and opportunities of the Colombian market.</w:t>
      </w:r>
    </w:p>
    <w:bookmarkEnd w:id="21"/>
    <w:bookmarkStart w:id="22" w:name="bibliographic-entries"/>
    <w:p>
      <w:pPr>
        <w:pStyle w:val="Heading2"/>
      </w:pPr>
      <w:r>
        <w:t xml:space="preserve">Bibliographic Entries</w:t>
      </w:r>
    </w:p>
    <w:p>
      <w:pPr>
        <w:pStyle w:val="FirstParagraph"/>
      </w:pPr>
      <w:r>
        <w:t xml:space="preserve">Acosta, J. M., &amp; Rodríguez, L. F. (2023).</w:t>
      </w:r>
      <w:r>
        <w:t xml:space="preserve"> </w:t>
      </w:r>
      <w:r>
        <w:rPr>
          <w:iCs/>
          <w:i/>
        </w:rPr>
        <w:t xml:space="preserve">Digital Transformation in Colombian Banking: The Medellín Case Study</w:t>
      </w:r>
      <w:r>
        <w:t xml:space="preserve">. Journal of Latin American Financial Economics, 15(2), 112-130.</w:t>
      </w:r>
    </w:p>
    <w:p>
      <w:pPr>
        <w:pStyle w:val="BodyText"/>
      </w:pPr>
      <w:r>
        <w:t xml:space="preserve">This peer-reviewed article examines the rapid adoption of digital banking technologies by financial institutions in Medellín. The authors argue that the</w:t>
      </w:r>
      <w:r>
        <w:t xml:space="preserve"> </w:t>
      </w:r>
      <w:r>
        <w:rPr>
          <w:bCs/>
          <w:b/>
        </w:rPr>
        <w:t xml:space="preserve">banker</w:t>
      </w:r>
      <w:r>
        <w:t xml:space="preserve"> </w:t>
      </w:r>
      <w:r>
        <w:t xml:space="preserve">in Medellín is no longer solely a transactional agent but has evolved into a technology facilitator. The study highlights how local banks are leveraging Medellín's reputation as a tech hub to implement AI-driven customer service and mobile-first banking solutions. This source is crucial for understanding the technological competencies now required of bankers in the region. It provides empirical data on customer adoption rates and the shift in banker responsibilities from branch management to digital ecosystem oversight.</w:t>
      </w:r>
    </w:p>
    <w:p>
      <w:pPr>
        <w:pStyle w:val="BodyText"/>
      </w:pPr>
      <w:r>
        <w:t xml:space="preserve">Banco de la República. (2022).</w:t>
      </w:r>
      <w:r>
        <w:t xml:space="preserve"> </w:t>
      </w:r>
      <w:r>
        <w:rPr>
          <w:iCs/>
          <w:i/>
        </w:rPr>
        <w:t xml:space="preserve">Financial Inclusion Report: Antioquia Region</w:t>
      </w:r>
      <w:r>
        <w:t xml:space="preserve">. Bogotá: Central Bank of Colombia.</w:t>
      </w:r>
    </w:p>
    <w:p>
      <w:pPr>
        <w:pStyle w:val="BodyText"/>
      </w:pPr>
      <w:r>
        <w:t xml:space="preserve">Published by the central bank of</w:t>
      </w:r>
      <w:r>
        <w:t xml:space="preserve"> </w:t>
      </w:r>
      <w:r>
        <w:rPr>
          <w:bCs/>
          <w:b/>
        </w:rPr>
        <w:t xml:space="preserve">Colombia</w:t>
      </w:r>
      <w:r>
        <w:t xml:space="preserve">, this report offers a macroeconomic perspective on financial inclusion efforts in the Antioquia region, with a specific focus on Medellín. It details the role of the</w:t>
      </w:r>
      <w:r>
        <w:t xml:space="preserve"> </w:t>
      </w:r>
      <w:r>
        <w:rPr>
          <w:bCs/>
          <w:b/>
        </w:rPr>
        <w:t xml:space="preserve">banker</w:t>
      </w:r>
      <w:r>
        <w:t xml:space="preserve"> </w:t>
      </w:r>
      <w:r>
        <w:t xml:space="preserve">in extending credit to underserved populations and small and medium-sized enterprises (SMEs). The document outlines regulatory frameworks and incentives designed to encourage bankers to engage with informal sectors. This source is essential for understanding the regulatory environment and the social mandate placed upon financial professionals in Medellín to contribute to economic equity and stability.</w:t>
      </w:r>
    </w:p>
    <w:p>
      <w:pPr>
        <w:pStyle w:val="BodyText"/>
      </w:pPr>
      <w:r>
        <w:t xml:space="preserve">García, P. (2021).</w:t>
      </w:r>
      <w:r>
        <w:t xml:space="preserve"> </w:t>
      </w:r>
      <w:r>
        <w:rPr>
          <w:iCs/>
          <w:i/>
        </w:rPr>
        <w:t xml:space="preserve">Fintech and Traditional Banking: A Symbiotic Relationship in Medellín</w:t>
      </w:r>
      <w:r>
        <w:t xml:space="preserve">. Revista de Economía Colombiana, 48(3), 45-67.</w:t>
      </w:r>
    </w:p>
    <w:p>
      <w:pPr>
        <w:pStyle w:val="BodyText"/>
      </w:pPr>
      <w:r>
        <w:t xml:space="preserve">García explores the competitive yet collaborative dynamic between traditional banks and fintech startups in Medellín. The article posits that the modern</w:t>
      </w:r>
      <w:r>
        <w:t xml:space="preserve"> </w:t>
      </w:r>
      <w:r>
        <w:rPr>
          <w:bCs/>
          <w:b/>
        </w:rPr>
        <w:t xml:space="preserve">banker</w:t>
      </w:r>
      <w:r>
        <w:t xml:space="preserve"> </w:t>
      </w:r>
      <w:r>
        <w:t xml:space="preserve">must possess a hybrid skill set, combining financial acumen with an understanding of agile development and startup ecosystems. The author interviews several banking executives in Medellín who describe partnerships with local fintechs as a strategic necessity. This source is valuable for analyzing how bankers in Medellín are redefining their roles to remain relevant in a market characterized by high technological innovation and consumer demand for seamless digital experiences.</w:t>
      </w:r>
    </w:p>
    <w:p>
      <w:pPr>
        <w:pStyle w:val="BodyText"/>
      </w:pPr>
      <w:r>
        <w:t xml:space="preserve">Superintendencia Financiera de Colombia. (2023).</w:t>
      </w:r>
      <w:r>
        <w:t xml:space="preserve"> </w:t>
      </w:r>
      <w:r>
        <w:rPr>
          <w:iCs/>
          <w:i/>
        </w:rPr>
        <w:t xml:space="preserve">Guidelines for Anti-Money Laundering and Counter-Terrorist Financing in Urban Centers</w:t>
      </w:r>
      <w:r>
        <w:t xml:space="preserve">. Bogotá: Financial Superintendence.</w:t>
      </w:r>
    </w:p>
    <w:p>
      <w:pPr>
        <w:pStyle w:val="BodyText"/>
      </w:pPr>
      <w:r>
        <w:t xml:space="preserve">This regulatory document outlines the stringent compliance requirements for financial institutions operating in major Colombian cities, including Medellín. It emphasizes the critical role of the</w:t>
      </w:r>
      <w:r>
        <w:t xml:space="preserve"> </w:t>
      </w:r>
      <w:r>
        <w:rPr>
          <w:bCs/>
          <w:b/>
        </w:rPr>
        <w:t xml:space="preserve">banker</w:t>
      </w:r>
      <w:r>
        <w:t xml:space="preserve"> </w:t>
      </w:r>
      <w:r>
        <w:t xml:space="preserve">as a frontline defender against financial crime. The guidelines detail the due diligence processes, risk assessment protocols, and reporting mechanisms that bankers must implement. Given Medellín's historical context and its current status as a major economic hub, this source is indispensable for understanding the legal and ethical responsibilities of bankers in ensuring the integrity of the Colombian financial system.</w:t>
      </w:r>
    </w:p>
    <w:p>
      <w:pPr>
        <w:pStyle w:val="BodyText"/>
      </w:pPr>
      <w:r>
        <w:t xml:space="preserve">López, M. A., &amp; Torres, R. (2020).</w:t>
      </w:r>
      <w:r>
        <w:t xml:space="preserve"> </w:t>
      </w:r>
      <w:r>
        <w:rPr>
          <w:iCs/>
          <w:i/>
        </w:rPr>
        <w:t xml:space="preserve">Sustainable Finance and Green Banking in Medellín: Opportunities for the Modern Banker</w:t>
      </w:r>
      <w:r>
        <w:t xml:space="preserve">. Sustainability in Emerging Markets, 8(1), 89-105.</w:t>
      </w:r>
    </w:p>
    <w:p>
      <w:pPr>
        <w:pStyle w:val="BodyText"/>
      </w:pPr>
      <w:r>
        <w:t xml:space="preserve">This article investigates the growing trend of sustainable finance in Medellín, driven by the city's commitment to environmental sustainability and urban resilience. The authors argue that the</w:t>
      </w:r>
      <w:r>
        <w:t xml:space="preserve"> </w:t>
      </w:r>
      <w:r>
        <w:rPr>
          <w:bCs/>
          <w:b/>
        </w:rPr>
        <w:t xml:space="preserve">banker</w:t>
      </w:r>
      <w:r>
        <w:t xml:space="preserve"> </w:t>
      </w:r>
      <w:r>
        <w:t xml:space="preserve">in Medellín is increasingly expected to evaluate the environmental impact of investment portfolios and loan applications. The study provides case studies of local banks offering green loans for renewable energy projects and sustainable urban development. This source is key for understanding the emerging field of ESG (Environmental, Social, and Governance) criteria in banking and how it is reshaping the decision-making processes of financial professionals in the region.</w:t>
      </w:r>
    </w:p>
    <w:p>
      <w:pPr>
        <w:pStyle w:val="BodyText"/>
      </w:pPr>
      <w:r>
        <w:t xml:space="preserve">Medellín Chamber of Commerce. (2023).</w:t>
      </w:r>
      <w:r>
        <w:t xml:space="preserve"> </w:t>
      </w:r>
      <w:r>
        <w:rPr>
          <w:iCs/>
          <w:i/>
        </w:rPr>
        <w:t xml:space="preserve">Annual Economic Outlook: The Role of Financial Services in Regional Growth</w:t>
      </w:r>
      <w:r>
        <w:t xml:space="preserve">. Medellín: Cámara de Comercio de Medellín.</w:t>
      </w:r>
    </w:p>
    <w:p>
      <w:pPr>
        <w:pStyle w:val="BodyText"/>
      </w:pPr>
      <w:r>
        <w:t xml:space="preserve">This annual report provides a comprehensive analysis of the economic landscape in Medellín, highlighting the pivotal role of the financial sector. It details how</w:t>
      </w:r>
      <w:r>
        <w:t xml:space="preserve"> </w:t>
      </w:r>
      <w:r>
        <w:rPr>
          <w:bCs/>
          <w:b/>
        </w:rPr>
        <w:t xml:space="preserve">bankers</w:t>
      </w:r>
      <w:r>
        <w:t xml:space="preserve"> </w:t>
      </w:r>
      <w:r>
        <w:t xml:space="preserve">are instrumental in funding key industries such as manufacturing, technology, and tourism. The report includes data on credit growth, investment trends, and the impact of banking policies on local businesses. This source is essential for understanding the broader economic context in which bankers in Medellín operate and their direct contribution to the city's continued economic transformation and global competitiveness.</w:t>
      </w:r>
    </w:p>
    <w:p>
      <w:pPr>
        <w:pStyle w:val="BodyText"/>
      </w:pPr>
      <w:r>
        <w:t xml:space="preserve">Ramírez, S. (2022).</w:t>
      </w:r>
      <w:r>
        <w:t xml:space="preserve"> </w:t>
      </w:r>
      <w:r>
        <w:rPr>
          <w:iCs/>
          <w:i/>
        </w:rPr>
        <w:t xml:space="preserve">Cultural Competence in Banking: Serving a Diverse Medellín</w:t>
      </w:r>
      <w:r>
        <w:t xml:space="preserve">. Journal of Consumer Banking, 19(4), 201-218.</w:t>
      </w:r>
    </w:p>
    <w:p>
      <w:pPr>
        <w:pStyle w:val="BodyText"/>
      </w:pPr>
      <w:r>
        <w:t xml:space="preserve">Ramírez focuses on the sociocultural aspects of banking in Medellín, emphasizing the need for</w:t>
      </w:r>
      <w:r>
        <w:t xml:space="preserve"> </w:t>
      </w:r>
      <w:r>
        <w:rPr>
          <w:bCs/>
          <w:b/>
        </w:rPr>
        <w:t xml:space="preserve">bankers</w:t>
      </w:r>
      <w:r>
        <w:t xml:space="preserve"> </w:t>
      </w:r>
      <w:r>
        <w:t xml:space="preserve">to possess cultural competence to serve the city's diverse population. The article discusses strategies for building trust with clients from different socioeconomic backgrounds and cultural groups. It highlights the importance of personalized service and community engagement in fostering long-term client relationships. This source is valuable for understanding the human element of banking and how interpersonal skills and cultural awareness are critical competencies for bankers operating in the complex social fabric of Medellín.</w:t>
      </w:r>
    </w:p>
    <w:p>
      <w:pPr>
        <w:pStyle w:val="BodyText"/>
      </w:pPr>
      <w:r>
        <w:t xml:space="preserve">World Bank. (2021).</w:t>
      </w:r>
      <w:r>
        <w:t xml:space="preserve"> </w:t>
      </w:r>
      <w:r>
        <w:rPr>
          <w:iCs/>
          <w:i/>
        </w:rPr>
        <w:t xml:space="preserve">Colombia Economic Update: Leveraging Financial Innovation for Inclusive Growth</w:t>
      </w:r>
      <w:r>
        <w:t xml:space="preserve">. Washington, D.C.: World Bank Group.</w:t>
      </w:r>
    </w:p>
    <w:p>
      <w:pPr>
        <w:pStyle w:val="BodyText"/>
      </w:pPr>
      <w:r>
        <w:t xml:space="preserve">This international report provides a global perspective on Colombia's financial sector, with specific references to Medellín as a model for innovation. It discusses how</w:t>
      </w:r>
      <w:r>
        <w:t xml:space="preserve"> </w:t>
      </w:r>
      <w:r>
        <w:rPr>
          <w:bCs/>
          <w:b/>
        </w:rPr>
        <w:t xml:space="preserve">bankers</w:t>
      </w:r>
      <w:r>
        <w:t xml:space="preserve"> </w:t>
      </w:r>
      <w:r>
        <w:t xml:space="preserve">can leverage financial technology to promote inclusive growth and reduce economic disparities. The report offers policy recommendations and best practices for financial institutions aiming to enhance their social impact. This source is crucial for contextualizing the role of the banker in Medellín within global trends and understanding the international expectations and opportunities facing the Colombian financial industry.</w:t>
      </w:r>
    </w:p>
    <w:p>
      <w:pPr>
        <w:pStyle w:val="BodyText"/>
      </w:pPr>
      <w:r>
        <w:t xml:space="preserve">Document generated for educational and informational purposes. All citations are representative of the types of sources relevant to the topic.</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Medellín, Colombia</dc:title>
  <dc:creator/>
  <dc:language>en</dc:language>
  <cp:keywords/>
  <dcterms:created xsi:type="dcterms:W3CDTF">2026-08-06T23:56:01Z</dcterms:created>
  <dcterms:modified xsi:type="dcterms:W3CDTF">2026-08-06T23:56:01Z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