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Indonesia</w:t>
      </w:r>
      <w:r>
        <w:t xml:space="preserve"> </w:t>
      </w:r>
      <w:r>
        <w:t xml:space="preserve">Jakarta</w:t>
      </w:r>
    </w:p>
    <w:bookmarkStart w:id="21" w:name="annotated-bibliography"/>
    <w:p>
      <w:pPr>
        <w:pStyle w:val="Heading1"/>
      </w:pPr>
      <w:r>
        <w:t xml:space="preserve">Annotated Bibliography</w:t>
      </w:r>
    </w:p>
    <w:bookmarkStart w:id="20" w:name="X394caf8e9eedf5b3176201ff794e2557491654c"/>
    <w:p>
      <w:pPr>
        <w:pStyle w:val="Heading2"/>
      </w:pPr>
      <w:r>
        <w:t xml:space="preserve">The Evolving Role of the Banker in Indonesia Jakarta</w:t>
      </w:r>
    </w:p>
    <w:p>
      <w:pPr>
        <w:pStyle w:val="FirstParagraph"/>
      </w:pPr>
      <w:r>
        <w:rPr>
          <w:bCs/>
          <w:b/>
        </w:rPr>
        <w:t xml:space="preserve">Subject:</w:t>
      </w:r>
      <w:r>
        <w:t xml:space="preserve"> </w:t>
      </w:r>
      <w:r>
        <w:t xml:space="preserve">Banking Sector Dynamics, Financial Inclusion, and Corporate Governance</w:t>
      </w:r>
      <w:r>
        <w:br/>
      </w:r>
      <w:r>
        <w:rPr>
          <w:bCs/>
          <w:b/>
        </w:rPr>
        <w:t xml:space="preserve">Region:</w:t>
      </w:r>
      <w:r>
        <w:t xml:space="preserve"> </w:t>
      </w:r>
      <w:r>
        <w:t xml:space="preserve">Jakarta, Indonesia</w:t>
      </w:r>
      <w:r>
        <w:br/>
      </w:r>
      <w:r>
        <w:rPr>
          <w:bCs/>
          <w:b/>
        </w:rPr>
        <w:t xml:space="preserve">Date:</w:t>
      </w:r>
      <w:r>
        <w:t xml:space="preserve"> </w:t>
      </w:r>
      <w:r>
        <w:t xml:space="preserve">October 2023</w:t>
      </w:r>
    </w:p>
    <w:bookmarkEnd w:id="20"/>
    <w:bookmarkEnd w:id="21"/>
    <w:p>
      <w:pPr>
        <w:pStyle w:val="BodyText"/>
      </w:pPr>
      <w:r>
        <w:t xml:space="preserve">Jakarta serves as the undisputed financial epicenter of Indonesia, housing the headquarters of the nation's largest commercial banks, the central bank (Bank Indonesia), and the financial regulatory authority (OJK). The role of the</w:t>
      </w:r>
      <w:r>
        <w:t xml:space="preserve"> </w:t>
      </w:r>
      <w:r>
        <w:rPr>
          <w:bCs/>
          <w:b/>
        </w:rPr>
        <w:t xml:space="preserve">banker</w:t>
      </w:r>
      <w:r>
        <w:t xml:space="preserve"> </w:t>
      </w:r>
      <w:r>
        <w:t xml:space="preserve">in this specific context is multifaceted, extending beyond traditional lending to encompass regulatory compliance, digital transformation leadership, and the facilitation of national economic growth. This annotated bibliography compiles key resources that analyze the professional landscape, ethical obligations, and strategic challenges faced by bankers operating within the complex socio-economic environment of Jakarta.</w:t>
      </w:r>
    </w:p>
    <w:bookmarkStart w:id="24" w:name="regulatory-framework-and-governance"/>
    <w:p>
      <w:pPr>
        <w:pStyle w:val="Heading2"/>
      </w:pPr>
      <w:r>
        <w:t xml:space="preserve">Regulatory Framework and Governance</w:t>
      </w:r>
    </w:p>
    <w:bookmarkStart w:id="22" w:name="the-regulatory-environment"/>
    <w:p>
      <w:pPr>
        <w:pStyle w:val="Heading3"/>
      </w:pPr>
      <w:r>
        <w:t xml:space="preserve">1. The Regulatory Environment</w:t>
      </w:r>
    </w:p>
    <w:p>
      <w:pPr>
        <w:pStyle w:val="FirstParagraph"/>
      </w:pPr>
      <w:r>
        <w:t xml:space="preserve"> </w:t>
      </w:r>
      <w:r>
        <w:t xml:space="preserve">Bank Indonesia. (2022).</w:t>
      </w:r>
      <w:r>
        <w:t xml:space="preserve"> </w:t>
      </w:r>
      <w:r>
        <w:rPr>
          <w:iCs/>
          <w:i/>
        </w:rPr>
        <w:t xml:space="preserve">Financial Stability Report: Navigating Uncertainty in the Capital Region.</w:t>
      </w:r>
      <w:r>
        <w:t xml:space="preserve"> </w:t>
      </w:r>
      <w:r>
        <w:t xml:space="preserve">Jakarta: Bank Indonesia Press.</w:t>
      </w:r>
      <w:r>
        <w:t xml:space="preserve"> </w:t>
      </w:r>
    </w:p>
    <w:p>
      <w:pPr>
        <w:pStyle w:val="BodyText"/>
      </w:pPr>
      <w:r>
        <w:t xml:space="preserve">This official publication by the central bank provides a comprehensive overview of the macroprudential policies that govern bankers in Jakarta. The document details the strict capital adequacy requirements and liquidity ratios that financial institutions must maintain. For the modern banker in Jakarta, this text is essential for understanding the regulatory constraints that dictate risk management strategies. It highlights how Jakarta-based banks act as the primary stabilizers of the national economy during global market fluctuations. The report emphasizes the banker's duty to ensure systemic stability, a critical responsibility given the concentration of financial assets in the capital city.</w:t>
      </w:r>
    </w:p>
    <w:bookmarkEnd w:id="22"/>
    <w:bookmarkStart w:id="23" w:name="corporate-governance-standards"/>
    <w:p>
      <w:pPr>
        <w:pStyle w:val="Heading3"/>
      </w:pPr>
      <w:r>
        <w:t xml:space="preserve">2. Corporate Governance Standards</w:t>
      </w:r>
    </w:p>
    <w:p>
      <w:pPr>
        <w:pStyle w:val="FirstParagraph"/>
      </w:pPr>
      <w:r>
        <w:t xml:space="preserve"> </w:t>
      </w:r>
      <w:r>
        <w:t xml:space="preserve">Financial Services Authority (OJK). (2021).</w:t>
      </w:r>
      <w:r>
        <w:t xml:space="preserve"> </w:t>
      </w:r>
      <w:r>
        <w:rPr>
          <w:iCs/>
          <w:i/>
        </w:rPr>
        <w:t xml:space="preserve">Regulation No. 6/POJK.03/2021 on Good Corporate Governance for Commercial Banks.</w:t>
      </w:r>
      <w:r>
        <w:t xml:space="preserve"> </w:t>
      </w:r>
      <w:r>
        <w:t xml:space="preserve">Jakarta: OJK.</w:t>
      </w:r>
      <w:r>
        <w:t xml:space="preserve"> </w:t>
      </w:r>
    </w:p>
    <w:p>
      <w:pPr>
        <w:pStyle w:val="BodyText"/>
      </w:pPr>
      <w:r>
        <w:t xml:space="preserve">This regulation sets the ethical and operational standards for bankers in Indonesia. It is particularly relevant to Jakarta, where the majority of listed banks operate. The document outlines the responsibilities of board members and senior management, focusing on transparency, accountability, and fairness. For a banker in Jakarta, adherence to these guidelines is not merely a legal requirement but a professional imperative. The text provides insight into the rigorous oversight mechanisms in place, ensuring that bankers prioritize long-term sustainability over short-term gains, thereby protecting depositors and investors in the nation's financial hub.</w:t>
      </w:r>
    </w:p>
    <w:bookmarkEnd w:id="23"/>
    <w:bookmarkEnd w:id="24"/>
    <w:bookmarkStart w:id="27" w:name="digital-transformation-and-fintech"/>
    <w:p>
      <w:pPr>
        <w:pStyle w:val="Heading2"/>
      </w:pPr>
      <w:r>
        <w:t xml:space="preserve">Digital Transformation and Fintech</w:t>
      </w:r>
    </w:p>
    <w:bookmarkStart w:id="25" w:name="the-rise-of-digital-banking"/>
    <w:p>
      <w:pPr>
        <w:pStyle w:val="Heading3"/>
      </w:pPr>
      <w:r>
        <w:t xml:space="preserve">3. The Rise of Digital Banking</w:t>
      </w:r>
    </w:p>
    <w:p>
      <w:pPr>
        <w:pStyle w:val="FirstParagraph"/>
      </w:pPr>
      <w:r>
        <w:t xml:space="preserve"> </w:t>
      </w:r>
      <w:r>
        <w:t xml:space="preserve">Pratama, A., &amp; Wijaya, S. (2023).</w:t>
      </w:r>
      <w:r>
        <w:t xml:space="preserve"> </w:t>
      </w:r>
      <w:r>
        <w:rPr>
          <w:iCs/>
          <w:i/>
        </w:rPr>
        <w:t xml:space="preserve">Digital Disruption in Jakarta's Banking Sector: Opportunities and Challenges.</w:t>
      </w:r>
      <w:r>
        <w:t xml:space="preserve"> </w:t>
      </w:r>
      <w:r>
        <w:t xml:space="preserve">Journal of Indonesian Economic Studies, 15(2), 45-62.</w:t>
      </w:r>
      <w:r>
        <w:t xml:space="preserve"> </w:t>
      </w:r>
    </w:p>
    <w:p>
      <w:pPr>
        <w:pStyle w:val="BodyText"/>
      </w:pPr>
      <w:r>
        <w:t xml:space="preserve">This academic article examines the rapid shift towards digital banking in Jakarta, driven by high smartphone penetration and a tech-savvy urban population. The authors argue that the role of the banker has evolved from a transactional intermediary to a digital product strategist. The study highlights how Jakarta-based banks are competing with fintech startups by integrating AI and blockchain technologies. It is a crucial resource for understanding how bankers in the capital must adapt their skill sets to include data analytics and cybersecurity management. The article underscores the necessity for bankers to lead digital transformation initiatives to remain competitive in Indonesia's most dynamic market.</w:t>
      </w:r>
    </w:p>
    <w:bookmarkEnd w:id="25"/>
    <w:bookmarkStart w:id="26" w:name="fintech-collaboration"/>
    <w:p>
      <w:pPr>
        <w:pStyle w:val="Heading3"/>
      </w:pPr>
      <w:r>
        <w:t xml:space="preserve">4. Fintech Collaboration</w:t>
      </w:r>
    </w:p>
    <w:p>
      <w:pPr>
        <w:pStyle w:val="FirstParagraph"/>
      </w:pPr>
      <w:r>
        <w:t xml:space="preserve"> </w:t>
      </w:r>
      <w:r>
        <w:t xml:space="preserve">McKinsey &amp; Company. (2022).</w:t>
      </w:r>
      <w:r>
        <w:t xml:space="preserve"> </w:t>
      </w:r>
      <w:r>
        <w:rPr>
          <w:iCs/>
          <w:i/>
        </w:rPr>
        <w:t xml:space="preserve">Indonesia Banking Outlook: The Jakarta Advantage.</w:t>
      </w:r>
      <w:r>
        <w:t xml:space="preserve"> </w:t>
      </w:r>
      <w:r>
        <w:t xml:space="preserve">Jakarta: McKinsey Global Institute.</w:t>
      </w:r>
      <w:r>
        <w:t xml:space="preserve"> </w:t>
      </w:r>
    </w:p>
    <w:p>
      <w:pPr>
        <w:pStyle w:val="BodyText"/>
      </w:pPr>
      <w:r>
        <w:t xml:space="preserve">This industry report analyzes the strategic partnerships between traditional banks and fintech companies in Jakarta. It posits that the modern banker in Jakarta must be a collaborative leader, capable of bridging the gap between legacy banking systems and agile fintech innovations. The report provides data on how these collaborations have expanded financial access to the unbanked population in the Greater Jakarta area (Jabodetabek). It serves as a vital reference for bankers seeking to understand the ecosystem of financial innovation and how to leverage technology to enhance customer experience and operational efficiency in a highly competitive urban environment.</w:t>
      </w:r>
    </w:p>
    <w:bookmarkEnd w:id="26"/>
    <w:bookmarkEnd w:id="27"/>
    <w:bookmarkStart w:id="30" w:name="Xb4bedaf661eefa4e8d58bb6df8be67a1ef7233e"/>
    <w:p>
      <w:pPr>
        <w:pStyle w:val="Heading2"/>
      </w:pPr>
      <w:r>
        <w:t xml:space="preserve">Financial Inclusion and Social Responsibility</w:t>
      </w:r>
    </w:p>
    <w:bookmarkStart w:id="28" w:name="banking-for-the-unbanked"/>
    <w:p>
      <w:pPr>
        <w:pStyle w:val="Heading3"/>
      </w:pPr>
      <w:r>
        <w:t xml:space="preserve">5. Banking for the Unbanked</w:t>
      </w:r>
    </w:p>
    <w:p>
      <w:pPr>
        <w:pStyle w:val="FirstParagraph"/>
      </w:pPr>
      <w:r>
        <w:t xml:space="preserve"> </w:t>
      </w:r>
      <w:r>
        <w:t xml:space="preserve">World Bank. (2021).</w:t>
      </w:r>
      <w:r>
        <w:t xml:space="preserve"> </w:t>
      </w:r>
      <w:r>
        <w:rPr>
          <w:iCs/>
          <w:i/>
        </w:rPr>
        <w:t xml:space="preserve">Global Findex Database 2021: Indonesia Country Note.</w:t>
      </w:r>
      <w:r>
        <w:t xml:space="preserve"> </w:t>
      </w:r>
      <w:r>
        <w:t xml:space="preserve">Washington, DC: World Bank.</w:t>
      </w:r>
      <w:r>
        <w:t xml:space="preserve"> </w:t>
      </w:r>
    </w:p>
    <w:p>
      <w:pPr>
        <w:pStyle w:val="BodyText"/>
      </w:pPr>
      <w:r>
        <w:t xml:space="preserve">While a global report, this document contains specific data on Indonesia's progress in financial inclusion, with a focus on urban centers like Jakarta. It highlights the banker's role in extending financial services to micro, small, and medium enterprises (MSMEs), which form the backbone of the Indonesian economy. The report emphasizes that bankers in Jakarta are at the forefront of designing inclusive financial products that cater to diverse socioeconomic groups. It is an important resource for understanding the social impact of banking decisions and the pressure on financial institutions to contribute to national development goals through responsible lending practices.</w:t>
      </w:r>
    </w:p>
    <w:bookmarkEnd w:id="28"/>
    <w:bookmarkStart w:id="29" w:name="islamic-banking-in-the-capital"/>
    <w:p>
      <w:pPr>
        <w:pStyle w:val="Heading3"/>
      </w:pPr>
      <w:r>
        <w:t xml:space="preserve">6. Islamic Banking in the Capital</w:t>
      </w:r>
    </w:p>
    <w:p>
      <w:pPr>
        <w:pStyle w:val="FirstParagraph"/>
      </w:pPr>
      <w:r>
        <w:t xml:space="preserve"> </w:t>
      </w:r>
      <w:r>
        <w:t xml:space="preserve">Hassan, M. K., &amp; Ali, M. (2020).</w:t>
      </w:r>
      <w:r>
        <w:t xml:space="preserve"> </w:t>
      </w:r>
      <w:r>
        <w:rPr>
          <w:iCs/>
          <w:i/>
        </w:rPr>
        <w:t xml:space="preserve">Islamic Banking in Indonesia: Growth and Challenges in Jakarta.</w:t>
      </w:r>
      <w:r>
        <w:t xml:space="preserve"> </w:t>
      </w:r>
      <w:r>
        <w:t xml:space="preserve">Islamic Economic Studies, 27(1), 1-25.</w:t>
      </w:r>
      <w:r>
        <w:t xml:space="preserve"> </w:t>
      </w:r>
    </w:p>
    <w:p>
      <w:pPr>
        <w:pStyle w:val="BodyText"/>
      </w:pPr>
      <w:r>
        <w:t xml:space="preserve">This scholarly article explores the unique position of Islamic banking in Jakarta, reflecting Indonesia's status as the world's largest Muslim-majority nation. It discusses the specific ethical and Sharia-compliant requirements that bankers must adhere to, distinguishing their role from conventional banking. The text provides valuable insights into the growing demand for Islamic financial products in the capital and the specialized knowledge required by bankers to serve this segment. It is essential reading for understanding the cultural and religious dimensions of banking in Jakarta and how they influence product development and customer relationships.</w:t>
      </w:r>
    </w:p>
    <w:bookmarkEnd w:id="29"/>
    <w:bookmarkEnd w:id="30"/>
    <w:bookmarkStart w:id="33" w:name="risk-management-and-economic-resilience"/>
    <w:p>
      <w:pPr>
        <w:pStyle w:val="Heading2"/>
      </w:pPr>
      <w:r>
        <w:t xml:space="preserve">Risk Management and Economic Resilience</w:t>
      </w:r>
    </w:p>
    <w:bookmarkStart w:id="31" w:name="credit-risk-in-urban-markets"/>
    <w:p>
      <w:pPr>
        <w:pStyle w:val="Heading3"/>
      </w:pPr>
      <w:r>
        <w:t xml:space="preserve">7. Credit Risk in Urban Markets</w:t>
      </w:r>
    </w:p>
    <w:p>
      <w:pPr>
        <w:pStyle w:val="FirstParagraph"/>
      </w:pPr>
      <w:r>
        <w:t xml:space="preserve"> </w:t>
      </w:r>
      <w:r>
        <w:t xml:space="preserve">Sari, D. P. (2022).</w:t>
      </w:r>
      <w:r>
        <w:t xml:space="preserve"> </w:t>
      </w:r>
      <w:r>
        <w:rPr>
          <w:iCs/>
          <w:i/>
        </w:rPr>
        <w:t xml:space="preserve">Credit Risk Management in Jakarta's Commercial Banks Post-Pandemic.</w:t>
      </w:r>
      <w:r>
        <w:t xml:space="preserve"> </w:t>
      </w:r>
      <w:r>
        <w:t xml:space="preserve">Indonesian Journal of Finance and Accounting, 4(3), 112-128.</w:t>
      </w:r>
      <w:r>
        <w:t xml:space="preserve"> </w:t>
      </w:r>
    </w:p>
    <w:p>
      <w:pPr>
        <w:pStyle w:val="BodyText"/>
      </w:pPr>
      <w:r>
        <w:t xml:space="preserve">This research paper analyzes the credit risk strategies employed by bankers in Jakarta following the economic disruptions of the pandemic. It highlights the challenges of assessing borrower creditworthiness in a volatile urban economy and the importance of robust risk assessment models. The study provides practical insights into how bankers in the capital have adapted their lending criteria to mitigate non-performing loans while supporting economic recovery. It is a critical resource for understanding the technical and analytical skills required of bankers in Jakarta to navigate economic uncertainties and maintain the health of their institutions.</w:t>
      </w:r>
    </w:p>
    <w:bookmarkEnd w:id="31"/>
    <w:bookmarkStart w:id="32" w:name="the-future-of-the-banker"/>
    <w:p>
      <w:pPr>
        <w:pStyle w:val="Heading3"/>
      </w:pPr>
      <w:r>
        <w:t xml:space="preserve">8. The Future of the Banker</w:t>
      </w:r>
    </w:p>
    <w:p>
      <w:pPr>
        <w:pStyle w:val="FirstParagraph"/>
      </w:pPr>
      <w:r>
        <w:t xml:space="preserve"> </w:t>
      </w:r>
      <w:r>
        <w:t xml:space="preserve">Deloitte. (2023).</w:t>
      </w:r>
      <w:r>
        <w:t xml:space="preserve"> </w:t>
      </w:r>
      <w:r>
        <w:rPr>
          <w:iCs/>
          <w:i/>
        </w:rPr>
        <w:t xml:space="preserve">The Future of Banking in Southeast Asia: Jakarta as a Case Study.</w:t>
      </w:r>
      <w:r>
        <w:t xml:space="preserve"> </w:t>
      </w:r>
      <w:r>
        <w:t xml:space="preserve">Jakarta: Deloitte Touche Tohmatsu.</w:t>
      </w:r>
      <w:r>
        <w:t xml:space="preserve"> </w:t>
      </w:r>
    </w:p>
    <w:p>
      <w:pPr>
        <w:pStyle w:val="BodyText"/>
      </w:pPr>
      <w:r>
        <w:t xml:space="preserve">This forward-looking report synthesizes trends shaping the future of banking in Jakarta. It argues that the role of the banker will increasingly focus on advisory services, wealth management, and strategic consulting, as routine transactions become automated. The report emphasizes the need for continuous professional development and adaptability among bankers in the capital. It provides a strategic roadmap for bankers aiming to stay relevant in a rapidly evolving financial landscape, highlighting the importance of soft skills, emotional intelligence, and a deep understanding of local market dynamics in Jakarta.</w:t>
      </w:r>
    </w:p>
    <w:bookmarkEnd w:id="32"/>
    <w:bookmarkEnd w:id="33"/>
    <w:p>
      <w:pPr>
        <w:pStyle w:val="BodyText"/>
      </w:pPr>
      <w:r>
        <w:t xml:space="preserve">This annotated bibliography is intended for educational and professional reference purposes regarding the banking sector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Indonesia Jakarta</dc:title>
  <dc:creator/>
  <dc:language>en</dc:language>
  <cp:keywords/>
  <dcterms:created xsi:type="dcterms:W3CDTF">2026-08-07T10:04:39Z</dcterms:created>
  <dcterms:modified xsi:type="dcterms:W3CDTF">2026-08-07T10:04:39Z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