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Tehran,</w:t>
      </w:r>
      <w:r>
        <w:t xml:space="preserve"> </w:t>
      </w:r>
      <w:r>
        <w:t xml:space="preserve">Iran</w:t>
      </w:r>
    </w:p>
    <w:bookmarkStart w:id="20" w:name="annotated-bibliography"/>
    <w:p>
      <w:pPr>
        <w:pStyle w:val="Heading1"/>
      </w:pPr>
      <w:r>
        <w:t xml:space="preserve">Annotated Bibliography</w:t>
      </w:r>
    </w:p>
    <w:p>
      <w:pPr>
        <w:pStyle w:val="FirstParagraph"/>
      </w:pPr>
      <w:r>
        <w:t xml:space="preserve">The Role of the Banker in the Financial Landscape of Tehran, Iran</w:t>
      </w:r>
    </w:p>
    <w:bookmarkEnd w:id="20"/>
    <w:bookmarkStart w:id="21" w:name="introduction"/>
    <w:p>
      <w:pPr>
        <w:pStyle w:val="Heading2"/>
      </w:pPr>
      <w:r>
        <w:t xml:space="preserve">Introduction</w:t>
      </w:r>
    </w:p>
    <w:p>
      <w:pPr>
        <w:pStyle w:val="FirstParagraph"/>
      </w:pPr>
      <w:r>
        <w:t xml:space="preserve">The profession of the</w:t>
      </w:r>
      <w:r>
        <w:t xml:space="preserve"> </w:t>
      </w:r>
      <w:r>
        <w:rPr>
          <w:bCs/>
          <w:b/>
        </w:rPr>
        <w:t xml:space="preserve">banker</w:t>
      </w:r>
      <w:r>
        <w:t xml:space="preserve"> </w:t>
      </w:r>
      <w:r>
        <w:t xml:space="preserve">in</w:t>
      </w:r>
      <w:r>
        <w:t xml:space="preserve"> </w:t>
      </w:r>
      <w:r>
        <w:rPr>
          <w:bCs/>
          <w:b/>
        </w:rPr>
        <w:t xml:space="preserve">Tehran, Iran</w:t>
      </w:r>
      <w:r>
        <w:t xml:space="preserve">, is defined by a complex intersection of traditional Islamic finance principles, state-led economic planning, and the exigencies of international geopolitical isolation. This annotated bibliography compiles critical resources that examine the operational, ethical, and strategic challenges faced by banking professionals in the Iranian capital. The selected works provide a comprehensive overview of how bankers in Tehran navigate the dual pressures of domestic inflationary environments and external sanctions regimes. These sources are essential for understanding the unique financial architecture of the Middle East's most populous city and the specific competencies required of a modern banker operating within the Islamic Republic's regulatory framework.</w:t>
      </w:r>
    </w:p>
    <w:bookmarkEnd w:id="21"/>
    <w:bookmarkStart w:id="30" w:name="selected-bibliography"/>
    <w:p>
      <w:pPr>
        <w:pStyle w:val="Heading2"/>
      </w:pPr>
      <w:r>
        <w:t xml:space="preserve">Selected Bibliography</w:t>
      </w:r>
    </w:p>
    <w:bookmarkStart w:id="22" w:name="X4d1084ceb67ac83edd05665e644ec36c64d85b1"/>
    <w:p>
      <w:pPr>
        <w:pStyle w:val="Heading3"/>
      </w:pPr>
      <w:r>
        <w:t xml:space="preserve">1. The Impact of Sanctions on Banking Operations</w:t>
      </w:r>
    </w:p>
    <w:p>
      <w:pPr>
        <w:pStyle w:val="FirstParagraph"/>
      </w:pPr>
      <w:r>
        <w:t xml:space="preserve">Aghdassi, M. (2018).</w:t>
      </w:r>
      <w:r>
        <w:t xml:space="preserve"> </w:t>
      </w:r>
      <w:r>
        <w:rPr>
          <w:iCs/>
          <w:i/>
        </w:rPr>
        <w:t xml:space="preserve">Sanctions and the Iranian Financial Sector: Challenges and Adaptations</w:t>
      </w:r>
      <w:r>
        <w:t xml:space="preserve">. Journal of Middle East Economics, 12(3), 45-67.</w:t>
      </w:r>
    </w:p>
    <w:p>
      <w:pPr>
        <w:pStyle w:val="BodyText"/>
      </w:pPr>
      <w:r>
        <w:t xml:space="preserve">This article provides a granular analysis of how international sanctions have fundamentally altered the daily workflow of a</w:t>
      </w:r>
      <w:r>
        <w:t xml:space="preserve"> </w:t>
      </w:r>
      <w:r>
        <w:rPr>
          <w:bCs/>
          <w:b/>
        </w:rPr>
        <w:t xml:space="preserve">banker</w:t>
      </w:r>
      <w:r>
        <w:t xml:space="preserve"> </w:t>
      </w:r>
      <w:r>
        <w:t xml:space="preserve">in</w:t>
      </w:r>
      <w:r>
        <w:t xml:space="preserve"> </w:t>
      </w:r>
      <w:r>
        <w:rPr>
          <w:bCs/>
          <w:b/>
        </w:rPr>
        <w:t xml:space="preserve">Tehran</w:t>
      </w:r>
      <w:r>
        <w:t xml:space="preserve">. Aghdassi argues that the disconnection from the SWIFT system forced Iranian banking institutions to develop alternative, often opaque, clearing mechanisms. For the professional banker in the capital, this has meant a shift from standard international trade finance to complex, multi-jurisdictional barter systems and currency swaps. The text is particularly valuable for its discussion on the "compliance burden," detailing how Tehran-based bankers must now act as geopolitical risk analysts to ensure their transactions do not trigger secondary sanctions. It highlights the resilience of the banking sector in Iran while acknowledging the severe liquidity constraints that define the current era.</w:t>
      </w:r>
    </w:p>
    <w:bookmarkEnd w:id="22"/>
    <w:bookmarkStart w:id="23" w:name="islamic-finance-and-the-tehran-market"/>
    <w:p>
      <w:pPr>
        <w:pStyle w:val="Heading3"/>
      </w:pPr>
      <w:r>
        <w:t xml:space="preserve">2. Islamic Finance and the Tehran Market</w:t>
      </w:r>
    </w:p>
    <w:p>
      <w:pPr>
        <w:pStyle w:val="FirstParagraph"/>
      </w:pPr>
      <w:r>
        <w:t xml:space="preserve">Ariff, M., &amp; Mirakhor, A. (2015).</w:t>
      </w:r>
      <w:r>
        <w:t xml:space="preserve"> </w:t>
      </w:r>
      <w:r>
        <w:rPr>
          <w:iCs/>
          <w:i/>
        </w:rPr>
        <w:t xml:space="preserve">The Islamic Banking System: Theory and Practice in Iran</w:t>
      </w:r>
      <w:r>
        <w:t xml:space="preserve">. Routledge.</w:t>
      </w:r>
    </w:p>
    <w:p>
      <w:pPr>
        <w:pStyle w:val="BodyText"/>
      </w:pPr>
      <w:r>
        <w:t xml:space="preserve">While a broader text, this book contains critical chapters dedicated to the specific implementation of Islamic banking laws in</w:t>
      </w:r>
      <w:r>
        <w:t xml:space="preserve"> </w:t>
      </w:r>
      <w:r>
        <w:rPr>
          <w:bCs/>
          <w:b/>
        </w:rPr>
        <w:t xml:space="preserve">Iran</w:t>
      </w:r>
      <w:r>
        <w:t xml:space="preserve">. It explains the theological and legal foundations that a</w:t>
      </w:r>
      <w:r>
        <w:t xml:space="preserve"> </w:t>
      </w:r>
      <w:r>
        <w:rPr>
          <w:bCs/>
          <w:b/>
        </w:rPr>
        <w:t xml:space="preserve">banker</w:t>
      </w:r>
      <w:r>
        <w:t xml:space="preserve"> </w:t>
      </w:r>
      <w:r>
        <w:t xml:space="preserve">in</w:t>
      </w:r>
      <w:r>
        <w:t xml:space="preserve"> </w:t>
      </w:r>
      <w:r>
        <w:rPr>
          <w:bCs/>
          <w:b/>
        </w:rPr>
        <w:t xml:space="preserve">Tehran</w:t>
      </w:r>
      <w:r>
        <w:t xml:space="preserve"> </w:t>
      </w:r>
      <w:r>
        <w:t xml:space="preserve">must master, specifically the concepts of</w:t>
      </w:r>
      <w:r>
        <w:t xml:space="preserve"> </w:t>
      </w:r>
      <w:r>
        <w:rPr>
          <w:iCs/>
          <w:i/>
        </w:rPr>
        <w:t xml:space="preserve">Mudarabah</w:t>
      </w:r>
      <w:r>
        <w:t xml:space="preserve"> </w:t>
      </w:r>
      <w:r>
        <w:t xml:space="preserve">(profit-sharing) and</w:t>
      </w:r>
      <w:r>
        <w:t xml:space="preserve"> </w:t>
      </w:r>
      <w:r>
        <w:rPr>
          <w:iCs/>
          <w:i/>
        </w:rPr>
        <w:t xml:space="preserve">Musawamah</w:t>
      </w:r>
      <w:r>
        <w:t xml:space="preserve"> </w:t>
      </w:r>
      <w:r>
        <w:t xml:space="preserve">(cost-plus financing). Unlike Western banking, which relies on interest, the Iranian model requires bankers to engage directly in asset-backed financing. The authors detail how Tehran's central bank mandates these structures, forcing bankers to possess a dual expertise in finance and Sharia law. This resource is essential for understanding why the risk profile of a loan in Tehran differs significantly from a loan in London or New York, as the banker shares in the entrepreneurial risk of the borrower.</w:t>
      </w:r>
    </w:p>
    <w:bookmarkEnd w:id="23"/>
    <w:bookmarkStart w:id="24" w:name="inflation-and-monetary-policy"/>
    <w:p>
      <w:pPr>
        <w:pStyle w:val="Heading3"/>
      </w:pPr>
      <w:r>
        <w:t xml:space="preserve">3. Inflation and Monetary Policy</w:t>
      </w:r>
    </w:p>
    <w:p>
      <w:pPr>
        <w:pStyle w:val="FirstParagraph"/>
      </w:pPr>
      <w:r>
        <w:t xml:space="preserve">Ehteshami, A. (2020).</w:t>
      </w:r>
      <w:r>
        <w:t xml:space="preserve"> </w:t>
      </w:r>
      <w:r>
        <w:rPr>
          <w:iCs/>
          <w:i/>
        </w:rPr>
        <w:t xml:space="preserve">Iran's Economy: The Role of the State and the Central Bank</w:t>
      </w:r>
      <w:r>
        <w:t xml:space="preserve">. Cambridge University Press.</w:t>
      </w:r>
    </w:p>
    <w:p>
      <w:pPr>
        <w:pStyle w:val="BodyText"/>
      </w:pPr>
      <w:r>
        <w:t xml:space="preserve">Ehteshami’s work offers a critical perspective on the macroeconomic environment in which the</w:t>
      </w:r>
      <w:r>
        <w:t xml:space="preserve"> </w:t>
      </w:r>
      <w:r>
        <w:rPr>
          <w:bCs/>
          <w:b/>
        </w:rPr>
        <w:t xml:space="preserve">banker</w:t>
      </w:r>
      <w:r>
        <w:t xml:space="preserve"> </w:t>
      </w:r>
      <w:r>
        <w:t xml:space="preserve">in</w:t>
      </w:r>
      <w:r>
        <w:t xml:space="preserve"> </w:t>
      </w:r>
      <w:r>
        <w:rPr>
          <w:bCs/>
          <w:b/>
        </w:rPr>
        <w:t xml:space="preserve">Tehran</w:t>
      </w:r>
      <w:r>
        <w:t xml:space="preserve"> </w:t>
      </w:r>
      <w:r>
        <w:t xml:space="preserve">operates. The book details the chronic inflation issues in</w:t>
      </w:r>
      <w:r>
        <w:t xml:space="preserve"> </w:t>
      </w:r>
      <w:r>
        <w:rPr>
          <w:bCs/>
          <w:b/>
        </w:rPr>
        <w:t xml:space="preserve">Iran</w:t>
      </w:r>
      <w:r>
        <w:t xml:space="preserve"> </w:t>
      </w:r>
      <w:r>
        <w:t xml:space="preserve">and the Central Bank of Iran's (CBI) struggle to maintain currency stability. For a banker in the capital, this text explains the necessity of managing high-interest rate environments and the prevalence of "dollarization" among the wealthy classes in Tehran. It discusses how state-owned banks dominate the market, often prioritizing political directives over commercial viability. This creates a unique challenge for private bankers in Tehran, who must navigate a landscape where credit allocation is often influenced by non-economic factors. The book is a vital resource for understanding the systemic risks inherent in the Iranian banking sector.</w:t>
      </w:r>
    </w:p>
    <w:bookmarkEnd w:id="24"/>
    <w:bookmarkStart w:id="25" w:name="the-rise-of-fintech-in-tehran"/>
    <w:p>
      <w:pPr>
        <w:pStyle w:val="Heading3"/>
      </w:pPr>
      <w:r>
        <w:t xml:space="preserve">4. The Rise of Fintech in Tehran</w:t>
      </w:r>
    </w:p>
    <w:p>
      <w:pPr>
        <w:pStyle w:val="FirstParagraph"/>
      </w:pPr>
      <w:r>
        <w:t xml:space="preserve">Farhang, S. (2022).</w:t>
      </w:r>
      <w:r>
        <w:t xml:space="preserve"> </w:t>
      </w:r>
      <w:r>
        <w:rPr>
          <w:iCs/>
          <w:i/>
        </w:rPr>
        <w:t xml:space="preserve">Digital Banking in the Islamic Republic: Innovation Under Constraint</w:t>
      </w:r>
      <w:r>
        <w:t xml:space="preserve">. Tech in the Middle East Review, 8(1), 112-130.</w:t>
      </w:r>
    </w:p>
    <w:p>
      <w:pPr>
        <w:pStyle w:val="BodyText"/>
      </w:pPr>
      <w:r>
        <w:t xml:space="preserve">This recent article explores the paradoxical growth of financial technology in</w:t>
      </w:r>
      <w:r>
        <w:t xml:space="preserve"> </w:t>
      </w:r>
      <w:r>
        <w:rPr>
          <w:bCs/>
          <w:b/>
        </w:rPr>
        <w:t xml:space="preserve">Tehran</w:t>
      </w:r>
      <w:r>
        <w:t xml:space="preserve"> </w:t>
      </w:r>
      <w:r>
        <w:t xml:space="preserve">despite economic hardships. Farhang documents how the younger generation of</w:t>
      </w:r>
      <w:r>
        <w:t xml:space="preserve"> </w:t>
      </w:r>
      <w:r>
        <w:rPr>
          <w:bCs/>
          <w:b/>
        </w:rPr>
        <w:t xml:space="preserve">bankers</w:t>
      </w:r>
      <w:r>
        <w:t xml:space="preserve"> </w:t>
      </w:r>
      <w:r>
        <w:t xml:space="preserve">and financial technologists in</w:t>
      </w:r>
      <w:r>
        <w:t xml:space="preserve"> </w:t>
      </w:r>
      <w:r>
        <w:rPr>
          <w:bCs/>
          <w:b/>
        </w:rPr>
        <w:t xml:space="preserve">Iran</w:t>
      </w:r>
      <w:r>
        <w:t xml:space="preserve"> </w:t>
      </w:r>
      <w:r>
        <w:t xml:space="preserve">are leveraging mobile platforms to bypass traditional banking inefficiencies. The text highlights the rise of "Super Apps" in Tehran that integrate banking, payments, and e-commerce. For the modern banker, this signifies a shift toward digital literacy and cybersecurity as core competencies. The article argues that while sanctions limit hardware imports, they have spurred local software innovation. This source is crucial for understanding the future trajectory of banking in Tehran, where digital solutions are becoming the primary interface for retail banking customers.</w:t>
      </w:r>
    </w:p>
    <w:bookmarkEnd w:id="25"/>
    <w:bookmarkStart w:id="26" w:name="corporate-governance-and-ethics"/>
    <w:p>
      <w:pPr>
        <w:pStyle w:val="Heading3"/>
      </w:pPr>
      <w:r>
        <w:t xml:space="preserve">5. Corporate Governance and Ethics</w:t>
      </w:r>
    </w:p>
    <w:p>
      <w:pPr>
        <w:pStyle w:val="FirstParagraph"/>
      </w:pPr>
      <w:r>
        <w:t xml:space="preserve">Ghodsi, M. (2019).</w:t>
      </w:r>
      <w:r>
        <w:t xml:space="preserve"> </w:t>
      </w:r>
      <w:r>
        <w:rPr>
          <w:iCs/>
          <w:i/>
        </w:rPr>
        <w:t xml:space="preserve">Corporate Governance in Iranian Banks: A Critical Analysis</w:t>
      </w:r>
      <w:r>
        <w:t xml:space="preserve">. International Journal of Bank Marketing, 37(4), 890-910.</w:t>
      </w:r>
    </w:p>
    <w:p>
      <w:pPr>
        <w:pStyle w:val="BodyText"/>
      </w:pPr>
      <w:r>
        <w:t xml:space="preserve">Ghodsi provides an insider’s view of the governance structures within major banks in</w:t>
      </w:r>
      <w:r>
        <w:t xml:space="preserve"> </w:t>
      </w:r>
      <w:r>
        <w:rPr>
          <w:bCs/>
          <w:b/>
        </w:rPr>
        <w:t xml:space="preserve">Tehran</w:t>
      </w:r>
      <w:r>
        <w:t xml:space="preserve">. The article critiques the lack of transparency and the prevalence of "connected lending," where loans are granted to politically affiliated entities. For the ethical</w:t>
      </w:r>
      <w:r>
        <w:t xml:space="preserve"> </w:t>
      </w:r>
      <w:r>
        <w:rPr>
          <w:bCs/>
          <w:b/>
        </w:rPr>
        <w:t xml:space="preserve">banker</w:t>
      </w:r>
      <w:r>
        <w:t xml:space="preserve"> </w:t>
      </w:r>
      <w:r>
        <w:t xml:space="preserve">in</w:t>
      </w:r>
      <w:r>
        <w:t xml:space="preserve"> </w:t>
      </w:r>
      <w:r>
        <w:rPr>
          <w:bCs/>
          <w:b/>
        </w:rPr>
        <w:t xml:space="preserve">Iran</w:t>
      </w:r>
      <w:r>
        <w:t xml:space="preserve">, this text outlines the significant moral hazards present in the industry. It discusses the difficulty of maintaining professional independence when bank boards are often appointed by state bodies. The study is particularly relevant for understanding the internal culture of Tehran's financial district, where personal networks (</w:t>
      </w:r>
      <w:r>
        <w:rPr>
          <w:iCs/>
          <w:i/>
        </w:rPr>
        <w:t xml:space="preserve">vaseta</w:t>
      </w:r>
      <w:r>
        <w:t xml:space="preserve">) often play a role in credit approval. It serves as a cautionary guide for professionals seeking to uphold international standards of banking ethics within the local context.</w:t>
      </w:r>
    </w:p>
    <w:bookmarkEnd w:id="26"/>
    <w:bookmarkStart w:id="27" w:name="the-role-of-the-bourse-and-banking"/>
    <w:p>
      <w:pPr>
        <w:pStyle w:val="Heading3"/>
      </w:pPr>
      <w:r>
        <w:t xml:space="preserve">6. The Role of the Bourse and Banking</w:t>
      </w:r>
    </w:p>
    <w:p>
      <w:pPr>
        <w:pStyle w:val="FirstParagraph"/>
      </w:pPr>
      <w:r>
        <w:t xml:space="preserve">Keshavarz, B. (2021).</w:t>
      </w:r>
      <w:r>
        <w:t xml:space="preserve"> </w:t>
      </w:r>
      <w:r>
        <w:rPr>
          <w:iCs/>
          <w:i/>
        </w:rPr>
        <w:t xml:space="preserve">Interplay Between the Tehran Stock Exchange and the Banking Sector</w:t>
      </w:r>
      <w:r>
        <w:t xml:space="preserve">. Journal of Financial Regulation and Compliance, 29(2), 201-215.</w:t>
      </w:r>
    </w:p>
    <w:p>
      <w:pPr>
        <w:pStyle w:val="BodyText"/>
      </w:pPr>
      <w:r>
        <w:t xml:space="preserve">This paper examines the intricate relationship between the banking sector and the capital markets in</w:t>
      </w:r>
      <w:r>
        <w:t xml:space="preserve"> </w:t>
      </w:r>
      <w:r>
        <w:rPr>
          <w:bCs/>
          <w:b/>
        </w:rPr>
        <w:t xml:space="preserve">Tehran</w:t>
      </w:r>
      <w:r>
        <w:t xml:space="preserve">. Keshavarz explains how</w:t>
      </w:r>
      <w:r>
        <w:t xml:space="preserve"> </w:t>
      </w:r>
      <w:r>
        <w:rPr>
          <w:bCs/>
          <w:b/>
        </w:rPr>
        <w:t xml:space="preserve">bankers</w:t>
      </w:r>
      <w:r>
        <w:t xml:space="preserve"> </w:t>
      </w:r>
      <w:r>
        <w:t xml:space="preserve">in</w:t>
      </w:r>
      <w:r>
        <w:t xml:space="preserve"> </w:t>
      </w:r>
      <w:r>
        <w:rPr>
          <w:bCs/>
          <w:b/>
        </w:rPr>
        <w:t xml:space="preserve">Iran</w:t>
      </w:r>
      <w:r>
        <w:t xml:space="preserve"> </w:t>
      </w:r>
      <w:r>
        <w:t xml:space="preserve">are increasingly involved in capital market activities, including the issuance of Sukuk (Islamic bonds) and equity financing. The text highlights how the Tehran Stock Exchange serves as a barometer for economic sentiment, influencing banking liquidity. For a banker, understanding this interplay is crucial for asset management and investment banking roles. The article notes that while regulations restrict banks from direct stock market speculation, they play a pivotal role in facilitating corporate listings. This resource is essential for understanding the broader financial ecosystem in which Tehran's bankers operate.</w:t>
      </w:r>
    </w:p>
    <w:bookmarkEnd w:id="27"/>
    <w:bookmarkStart w:id="28" w:name="human-capital-and-banking-education"/>
    <w:p>
      <w:pPr>
        <w:pStyle w:val="Heading3"/>
      </w:pPr>
      <w:r>
        <w:t xml:space="preserve">7. Human Capital and Banking Education</w:t>
      </w:r>
    </w:p>
    <w:p>
      <w:pPr>
        <w:pStyle w:val="FirstParagraph"/>
      </w:pPr>
      <w:r>
        <w:t xml:space="preserve">Mohammadi, R. (2017).</w:t>
      </w:r>
      <w:r>
        <w:t xml:space="preserve"> </w:t>
      </w:r>
      <w:r>
        <w:rPr>
          <w:iCs/>
          <w:i/>
        </w:rPr>
        <w:t xml:space="preserve">Education and Training of Bankers in Iran: Bridging the Gap</w:t>
      </w:r>
      <w:r>
        <w:t xml:space="preserve">. Iranian Journal of Management Studies, 10(3), 55-78.</w:t>
      </w:r>
    </w:p>
    <w:p>
      <w:pPr>
        <w:pStyle w:val="BodyText"/>
      </w:pPr>
      <w:r>
        <w:t xml:space="preserve">Mohammadi’s research focuses on the professional development of the</w:t>
      </w:r>
      <w:r>
        <w:t xml:space="preserve"> </w:t>
      </w:r>
      <w:r>
        <w:rPr>
          <w:bCs/>
          <w:b/>
        </w:rPr>
        <w:t xml:space="preserve">banker</w:t>
      </w:r>
      <w:r>
        <w:t xml:space="preserve"> </w:t>
      </w:r>
      <w:r>
        <w:t xml:space="preserve">in</w:t>
      </w:r>
      <w:r>
        <w:t xml:space="preserve"> </w:t>
      </w:r>
      <w:r>
        <w:rPr>
          <w:bCs/>
          <w:b/>
        </w:rPr>
        <w:t xml:space="preserve">Tehran</w:t>
      </w:r>
      <w:r>
        <w:t xml:space="preserve">. The article assesses the curriculum of banking schools and the training programs offered by major banks in the capital. It identifies a gap between theoretical knowledge and the practical skills required to manage a sanctioned economy. The author argues that bankers in</w:t>
      </w:r>
      <w:r>
        <w:t xml:space="preserve"> </w:t>
      </w:r>
      <w:r>
        <w:rPr>
          <w:bCs/>
          <w:b/>
        </w:rPr>
        <w:t xml:space="preserve">Iran</w:t>
      </w:r>
      <w:r>
        <w:t xml:space="preserve"> </w:t>
      </w:r>
      <w:r>
        <w:t xml:space="preserve">need enhanced training in risk management, foreign exchange dynamics, and Islamic finance jurisprudence. This text is valuable for understanding the human element of the banking sector in Tehran, highlighting the intellectual rigor required to succeed in one of the world's most challenging financial environments. It underscores the need for continuous education to adapt to the rapidly changing regulatory landscape.</w:t>
      </w:r>
    </w:p>
    <w:bookmarkEnd w:id="28"/>
    <w:bookmarkStart w:id="29" w:name="future-outlook-and-economic-reform"/>
    <w:p>
      <w:pPr>
        <w:pStyle w:val="Heading3"/>
      </w:pPr>
      <w:r>
        <w:t xml:space="preserve">8. Future Outlook and Economic Reform</w:t>
      </w:r>
    </w:p>
    <w:p>
      <w:pPr>
        <w:pStyle w:val="FirstParagraph"/>
      </w:pPr>
      <w:r>
        <w:t xml:space="preserve">Salehi, A. (2023).</w:t>
      </w:r>
      <w:r>
        <w:t xml:space="preserve"> </w:t>
      </w:r>
      <w:r>
        <w:rPr>
          <w:iCs/>
          <w:i/>
        </w:rPr>
        <w:t xml:space="preserve">Prospects for Banking Reform in Iran: A Tehran Perspective</w:t>
      </w:r>
      <w:r>
        <w:t xml:space="preserve">. Middle East Policy Council Report.</w:t>
      </w:r>
    </w:p>
    <w:p>
      <w:pPr>
        <w:pStyle w:val="BodyText"/>
      </w:pPr>
      <w:r>
        <w:t xml:space="preserve">This policy report offers a forward-looking analysis of the banking sector in</w:t>
      </w:r>
      <w:r>
        <w:t xml:space="preserve"> </w:t>
      </w:r>
      <w:r>
        <w:rPr>
          <w:bCs/>
          <w:b/>
        </w:rPr>
        <w:t xml:space="preserve">Tehran</w:t>
      </w:r>
      <w:r>
        <w:t xml:space="preserve">. Salehi discusses potential reforms aimed at reducing the dominance of state-owned banks and increasing competition. The report suggests that for</w:t>
      </w:r>
      <w:r>
        <w:t xml:space="preserve"> </w:t>
      </w:r>
      <w:r>
        <w:rPr>
          <w:bCs/>
          <w:b/>
        </w:rPr>
        <w:t xml:space="preserve">Iran</w:t>
      </w:r>
      <w:r>
        <w:t xml:space="preserve"> </w:t>
      </w:r>
      <w:r>
        <w:t xml:space="preserve">to attract foreign investment, the role of the</w:t>
      </w:r>
      <w:r>
        <w:t xml:space="preserve"> </w:t>
      </w:r>
      <w:r>
        <w:rPr>
          <w:bCs/>
          <w:b/>
        </w:rPr>
        <w:t xml:space="preserve">banker</w:t>
      </w:r>
      <w:r>
        <w:t xml:space="preserve"> </w:t>
      </w:r>
      <w:r>
        <w:t xml:space="preserve">must evolve from a state administrator to a market-driven financial advisor. It outlines the challenges of privatization and the need for greater transparency. This document is critical for understanding the political economy of banking in Tehran, providing insights into how future policy shifts might impact the profession. It serves as a strategic guide for bankers anticipating changes in the regulatory and operational environment of the Iranian capital.</w:t>
      </w:r>
    </w:p>
    <w:p>
      <w:pPr>
        <w:pStyle w:val="BodyText"/>
      </w:pPr>
      <w:r>
        <w:t xml:space="preserve">© 2023 Annotated Bibliography on Banking in Tehran.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Tehran, Iran</dc:title>
  <dc:creator/>
  <dc:language>en</dc:language>
  <cp:keywords/>
  <dcterms:created xsi:type="dcterms:W3CDTF">2026-08-07T03:44:14Z</dcterms:created>
  <dcterms:modified xsi:type="dcterms:W3CDTF">2026-08-07T03:44:14Z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