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Professional Role of the Banker in Kuwait City</w:t>
      </w:r>
    </w:p>
    <w:bookmarkEnd w:id="20"/>
    <w:p>
      <w:pPr>
        <w:pStyle w:val="BodyText"/>
      </w:pPr>
      <w:r>
        <w:t xml:space="preserve">The financial landscape of Kuwait City is a unique intersection of traditional Islamic finance principles, state-driven economic diversification strategies, and modern global banking standards. As the capital of the State of Kuwait, the city serves as the primary hub for the nation's banking sector, which is heavily regulated by the Central Bank of Kuwait (CBK). This annotated bibliography compiles essential literature regarding the responsibilities, regulatory environment, and evolving professional standards of the banker operating within this specific jurisdiction.</w:t>
      </w:r>
    </w:p>
    <w:p>
      <w:pPr>
        <w:pStyle w:val="BodyText"/>
      </w:pPr>
      <w:r>
        <w:t xml:space="preserve">The selected sources below examine the critical transition from oil-dependent wealth management to diversified investment banking, the strict adherence to Sharia-compliant banking, and the technological modernization required of contemporary bankers in Kuwait City. These resources are vital for understanding the specific competencies required to navigate the Kuwaiti financial market effectively.</w:t>
      </w:r>
    </w:p>
    <w:bookmarkStart w:id="21" w:name="regulatory-framework-and-central-banking"/>
    <w:p>
      <w:pPr>
        <w:pStyle w:val="Heading2"/>
      </w:pPr>
      <w:r>
        <w:t xml:space="preserve">Regulatory Framework and Central Banking</w:t>
      </w:r>
    </w:p>
    <w:p>
      <w:pPr>
        <w:pStyle w:val="FirstParagraph"/>
      </w:pPr>
      <w:r>
        <w:t xml:space="preserve">Central Bank of Kuwait. (2023).</w:t>
      </w:r>
      <w:r>
        <w:t xml:space="preserve"> </w:t>
      </w:r>
      <w:r>
        <w:rPr>
          <w:iCs/>
          <w:i/>
        </w:rPr>
        <w:t xml:space="preserve">Annual Report 2022: Financial Stability and Regulatory Oversight</w:t>
      </w:r>
      <w:r>
        <w:t xml:space="preserve">. Kuwait City: Central Bank of Kuwait.</w:t>
      </w:r>
    </w:p>
    <w:p>
      <w:pPr>
        <w:pStyle w:val="BodyText"/>
      </w:pPr>
      <w:r>
        <w:t xml:space="preserve">This official publication provides a comprehensive overview of the regulatory environment governing bankers in Kuwait City. It details the Central Bank of Kuwait's (CBK) mandate to maintain monetary stability and supervise banking institutions. For the professional banker, this document is crucial as it outlines the strict capital adequacy requirements, liquidity ratios, and risk management protocols that must be adhered to within the city's financial district. The report highlights the CBK's focus on combating money laundering and financing terrorism, emphasizing the compliance officer's role within Kuwaiti banks. It serves as a primary reference for understanding the legal boundaries and operational expectations placed on financial institutions in the capital.</w:t>
      </w:r>
    </w:p>
    <w:p>
      <w:pPr>
        <w:pStyle w:val="BodyText"/>
      </w:pPr>
      <w:r>
        <w:t xml:space="preserve">Al-Rashid, M. (2021).</w:t>
      </w:r>
      <w:r>
        <w:t xml:space="preserve"> </w:t>
      </w:r>
      <w:r>
        <w:rPr>
          <w:iCs/>
          <w:i/>
        </w:rPr>
        <w:t xml:space="preserve">Banking Regulation in the GCC: A Comparative Study of Kuwait and the UAE</w:t>
      </w:r>
      <w:r>
        <w:t xml:space="preserve">. Journal of Middle Eastern Finance, 15(3), 45-62.</w:t>
      </w:r>
    </w:p>
    <w:p>
      <w:pPr>
        <w:pStyle w:val="BodyText"/>
      </w:pPr>
      <w:r>
        <w:t xml:space="preserve">Al-Rashid’s article offers a comparative analysis that contextualizes the Kuwaiti banker’s regulatory burden against regional peers. The author argues that Kuwait City’s banking sector is characterized by a highly conservative regulatory approach compared to Dubai or Riyadh. This conservatism impacts the banker’s ability to innovate in product development, requiring a deeper understanding of local statutes. The text is particularly relevant for bankers involved in cross-border transactions, as it elucidates the specific licensing requirements and foreign ownership restrictions that define the operational landscape in Kuwait City.</w:t>
      </w:r>
    </w:p>
    <w:bookmarkEnd w:id="21"/>
    <w:bookmarkStart w:id="22" w:name="islamic-finance-and-sharia-compliance"/>
    <w:p>
      <w:pPr>
        <w:pStyle w:val="Heading2"/>
      </w:pPr>
      <w:r>
        <w:t xml:space="preserve">Islamic Finance and Sharia Compliance</w:t>
      </w:r>
    </w:p>
    <w:p>
      <w:pPr>
        <w:pStyle w:val="FirstParagraph"/>
      </w:pPr>
      <w:r>
        <w:t xml:space="preserve">El-Gamal, M. A. (2020).</w:t>
      </w:r>
      <w:r>
        <w:t xml:space="preserve"> </w:t>
      </w:r>
      <w:r>
        <w:rPr>
          <w:iCs/>
          <w:i/>
        </w:rPr>
        <w:t xml:space="preserve">Islamic Finance: Law, Economics, and Practice</w:t>
      </w:r>
      <w:r>
        <w:t xml:space="preserve"> </w:t>
      </w:r>
      <w:r>
        <w:t xml:space="preserve">(2nd ed.). Cambridge University Press.</w:t>
      </w:r>
    </w:p>
    <w:p>
      <w:pPr>
        <w:pStyle w:val="BodyText"/>
      </w:pPr>
      <w:r>
        <w:t xml:space="preserve">While a global text, El-Gamal’s work is indispensable for any banker operating in Kuwait City, where Islamic banking is not a niche sector but a dominant force. The book explains the theoretical underpinnings of Sharia-compliant finance, such as the prohibition of</w:t>
      </w:r>
      <w:r>
        <w:t xml:space="preserve"> </w:t>
      </w:r>
      <w:r>
        <w:rPr>
          <w:iCs/>
          <w:i/>
        </w:rPr>
        <w:t xml:space="preserve">Riba</w:t>
      </w:r>
      <w:r>
        <w:t xml:space="preserve"> </w:t>
      </w:r>
      <w:r>
        <w:t xml:space="preserve">(interest) and the requirement for asset-backed financing. For the Kuwaiti banker, this text provides the necessary framework to structure products like</w:t>
      </w:r>
      <w:r>
        <w:t xml:space="preserve"> </w:t>
      </w:r>
      <w:r>
        <w:rPr>
          <w:iCs/>
          <w:i/>
        </w:rPr>
        <w:t xml:space="preserve">Murabaha</w:t>
      </w:r>
      <w:r>
        <w:t xml:space="preserve"> </w:t>
      </w:r>
      <w:r>
        <w:t xml:space="preserve">and</w:t>
      </w:r>
      <w:r>
        <w:t xml:space="preserve"> </w:t>
      </w:r>
      <w:r>
        <w:rPr>
          <w:iCs/>
          <w:i/>
        </w:rPr>
        <w:t xml:space="preserve">Ijara</w:t>
      </w:r>
      <w:r>
        <w:t xml:space="preserve"> </w:t>
      </w:r>
      <w:r>
        <w:t xml:space="preserve">that align with the expectations of local clients and the rulings of the CBK’s Sharia Supervisory Board. It bridges the gap between religious jurisprudence and practical banking operations in the Kuwaiti market.</w:t>
      </w:r>
    </w:p>
    <w:p>
      <w:pPr>
        <w:pStyle w:val="BodyText"/>
      </w:pPr>
      <w:r>
        <w:t xml:space="preserve">Kuwait Finance House. (2022).</w:t>
      </w:r>
      <w:r>
        <w:t xml:space="preserve"> </w:t>
      </w:r>
      <w:r>
        <w:rPr>
          <w:iCs/>
          <w:i/>
        </w:rPr>
        <w:t xml:space="preserve">Sustainability and Islamic Finance: A Strategic Report</w:t>
      </w:r>
      <w:r>
        <w:t xml:space="preserve">. Kuwait City: KFH Group.</w:t>
      </w:r>
    </w:p>
    <w:p>
      <w:pPr>
        <w:pStyle w:val="BodyText"/>
      </w:pPr>
      <w:r>
        <w:t xml:space="preserve">This corporate report from one of Kuwait City’s leading financial institutions illustrates the practical application of Islamic finance principles in a modern banking context. It details how KFH integrates environmental, social, and governance (ESG) criteria with Sharia compliance. For bankers in Kuwait City, this document serves as a case study on how to market ethical banking products to a local clientele that increasingly values social responsibility. It demonstrates the evolving role of the banker as not just a financial intermediary, but as a steward of ethical capital within the Kuwaiti community.</w:t>
      </w:r>
    </w:p>
    <w:bookmarkEnd w:id="22"/>
    <w:bookmarkStart w:id="23" w:name="X67076468e16cb6d04cd74b20e3a910ad2661cb7"/>
    <w:p>
      <w:pPr>
        <w:pStyle w:val="Heading2"/>
      </w:pPr>
      <w:r>
        <w:t xml:space="preserve">Economic Diversification and Investment Banking</w:t>
      </w:r>
    </w:p>
    <w:p>
      <w:pPr>
        <w:pStyle w:val="FirstParagraph"/>
      </w:pPr>
      <w:r>
        <w:t xml:space="preserve">World Bank. (2023).</w:t>
      </w:r>
      <w:r>
        <w:t xml:space="preserve"> </w:t>
      </w:r>
      <w:r>
        <w:rPr>
          <w:iCs/>
          <w:i/>
        </w:rPr>
        <w:t xml:space="preserve">Kuwait Economic Monitor: Navigating the Path to Diversification</w:t>
      </w:r>
      <w:r>
        <w:t xml:space="preserve">. Washington, DC: World Bank Group.</w:t>
      </w:r>
    </w:p>
    <w:p>
      <w:pPr>
        <w:pStyle w:val="BodyText"/>
      </w:pPr>
      <w:r>
        <w:t xml:space="preserve">The World Bank’s report analyzes Kuwait’s "New Kuwait" vision, which aims to reduce the economy’s reliance on oil revenues. For the investment banker in Kuwait City, this document is a roadmap for future opportunities. It highlights sectors such as real estate, technology, and tourism that are expected to receive significant capital allocation. The report suggests that bankers must develop expertise in project finance and venture capital to support these emerging industries. It underscores the shift in the banker’s role from managing sovereign wealth to facilitating private sector growth within the capital city.</w:t>
      </w:r>
    </w:p>
    <w:p>
      <w:pPr>
        <w:pStyle w:val="BodyText"/>
      </w:pPr>
      <w:r>
        <w:t xml:space="preserve">Al-Sabah, N. (2019).</w:t>
      </w:r>
      <w:r>
        <w:t xml:space="preserve"> </w:t>
      </w:r>
      <w:r>
        <w:rPr>
          <w:iCs/>
          <w:i/>
        </w:rPr>
        <w:t xml:space="preserve">The Kuwaiti Stock Exchange: Trends and Challenges for Financial Intermediaries</w:t>
      </w:r>
      <w:r>
        <w:t xml:space="preserve">. Kuwait Journal of Economics, 8(1), 112-130.</w:t>
      </w:r>
    </w:p>
    <w:p>
      <w:pPr>
        <w:pStyle w:val="BodyText"/>
      </w:pPr>
      <w:r>
        <w:t xml:space="preserve">This academic paper focuses on the Kuwait Stock Exchange (KSE) and its relationship with local banking institutions. Al-Sabah discusses the challenges bankers face in mobilizing retail investment and managing market volatility. The article is particularly relevant for bankers in Kuwait City who advise high-net-worth individuals, as it provides insights into local investor behavior and market sentiment. It also touches upon the regulatory hurdles that banks encounter when acting as underwriters, offering a critical perspective on the intersection of banking and capital markets in Kuwait.</w:t>
      </w:r>
    </w:p>
    <w:bookmarkEnd w:id="23"/>
    <w:bookmarkStart w:id="24" w:name="digital-transformation-and-fintech"/>
    <w:p>
      <w:pPr>
        <w:pStyle w:val="Heading2"/>
      </w:pPr>
      <w:r>
        <w:t xml:space="preserve">Digital Transformation and Fintech</w:t>
      </w:r>
    </w:p>
    <w:p>
      <w:pPr>
        <w:pStyle w:val="FirstParagraph"/>
      </w:pPr>
      <w:r>
        <w:t xml:space="preserve">Deloitte Middle East. (2023).</w:t>
      </w:r>
      <w:r>
        <w:t xml:space="preserve"> </w:t>
      </w:r>
      <w:r>
        <w:rPr>
          <w:iCs/>
          <w:i/>
        </w:rPr>
        <w:t xml:space="preserve">Digital Banking in Kuwait: Opportunities and Threats</w:t>
      </w:r>
      <w:r>
        <w:t xml:space="preserve">. Dubai: Deloitte Touche Tohmatsu.</w:t>
      </w:r>
    </w:p>
    <w:p>
      <w:pPr>
        <w:pStyle w:val="BodyText"/>
      </w:pPr>
      <w:r>
        <w:t xml:space="preserve">This industry report examines the rapid digitalization of the banking sector in Kuwait City. It highlights the Central Bank of Kuwait’s initiatives to promote fintech innovation and the growing demand for mobile banking solutions among Kuwaiti citizens. For the modern banker, this document emphasizes the necessity of digital literacy and the integration of AI-driven analytics into customer service. It argues that bankers in Kuwait City must adapt to a hybrid model that combines traditional relationship banking with seamless digital experiences to remain competitive against emerging fintech startups.</w:t>
      </w:r>
    </w:p>
    <w:p>
      <w:pPr>
        <w:pStyle w:val="BodyText"/>
      </w:pPr>
      <w:r>
        <w:t xml:space="preserve">Al-Mutairi, H. (2022).</w:t>
      </w:r>
      <w:r>
        <w:t xml:space="preserve"> </w:t>
      </w:r>
      <w:r>
        <w:rPr>
          <w:iCs/>
          <w:i/>
        </w:rPr>
        <w:t xml:space="preserve">Cybersecurity in Kuwaiti Financial Institutions: A Risk Management Perspective</w:t>
      </w:r>
      <w:r>
        <w:t xml:space="preserve">. International Journal of Banking Technology, 10(4), 89-105.</w:t>
      </w:r>
    </w:p>
    <w:p>
      <w:pPr>
        <w:pStyle w:val="BodyText"/>
      </w:pPr>
      <w:r>
        <w:t xml:space="preserve">As banking in Kuwait City becomes increasingly digital, cybersecurity has emerged as a critical concern. Al-Mutairi’s research outlines the specific cyber threats facing Kuwaiti banks and the regulatory requirements for data protection. This source is essential for bankers involved in operational risk management, as it details the protocols necessary to safeguard client data and maintain public trust. The article reinforces the idea that the contemporary banker in Kuwait City must be vigilant not only about financial risks but also about technological vulnerabilities that could compromise the stability of the institution.</w:t>
      </w:r>
    </w:p>
    <w:p>
      <w:pPr>
        <w:pStyle w:val="BodyText"/>
      </w:pPr>
      <w:r>
        <w:t xml:space="preserve">© 2023 Annotated Bibliography on Banking in Kuwait City.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Kuwait City</dc:title>
  <dc:creator/>
  <dc:language>en</dc:language>
  <cp:keywords/>
  <dcterms:created xsi:type="dcterms:W3CDTF">2026-08-07T03:27:08Z</dcterms:created>
  <dcterms:modified xsi:type="dcterms:W3CDTF">2026-08-07T03:27:08Z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