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Auckland,</w:t>
      </w:r>
      <w:r>
        <w:t xml:space="preserve"> </w:t>
      </w:r>
      <w:r>
        <w:t xml:space="preserve">New</w:t>
      </w:r>
      <w:r>
        <w:t xml:space="preserve"> </w:t>
      </w:r>
      <w:r>
        <w:t xml:space="preserve">Zealand</w:t>
      </w:r>
    </w:p>
    <w:bookmarkStart w:id="20" w:name="Xd602d9a4766815f5be9c2bef4ed4dac8904147c"/>
    <w:p>
      <w:pPr>
        <w:pStyle w:val="Heading1"/>
      </w:pPr>
      <w:r>
        <w:t xml:space="preserve">Annotated Bibliography: The Role of the Banker in Auckland, New Zealand</w:t>
      </w:r>
    </w:p>
    <w:p>
      <w:pPr>
        <w:pStyle w:val="FirstParagraph"/>
      </w:pPr>
      <w:r>
        <w:rPr>
          <w:bCs/>
          <w:b/>
        </w:rPr>
        <w:t xml:space="preserve">Subject:</w:t>
      </w:r>
      <w:r>
        <w:t xml:space="preserve"> </w:t>
      </w:r>
      <w:r>
        <w:t xml:space="preserve">Financial Services, Banking Regulation, and Economic Development</w:t>
      </w:r>
      <w:r>
        <w:br/>
      </w:r>
      <w:r>
        <w:rPr>
          <w:bCs/>
          <w:b/>
        </w:rPr>
        <w:t xml:space="preserve">Region:</w:t>
      </w:r>
      <w:r>
        <w:t xml:space="preserve"> </w:t>
      </w:r>
      <w:r>
        <w:t xml:space="preserve">Auckland, New Zealand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role of the banker within the specific economic and regulatory context of Auckland, New Zealand. As the largest city in New Zealand and the primary financial hub of the country, Auckland presents unique challenges and opportunities for banking professionals. The selected sources address critical themes including the Reserve Bank of New Zealand's (RBNZ) macroprudential policies, the impact of the housing market on lending practices, the integration of FinTech in the Auckland CBD, and the ethical obligations of bankers under New Zealand law. These resources are essential for understanding how a banker operates within the local jurisdiction, balancing profit motives with strict regulatory compliance and community responsibility.</w:t>
      </w:r>
    </w:p>
    <w:bookmarkEnd w:id="21"/>
    <w:bookmarkStart w:id="22" w:name="X5a9a09f3dcff8dc14930eb60e596d53f85114c7"/>
    <w:p>
      <w:pPr>
        <w:pStyle w:val="Heading2"/>
      </w:pPr>
      <w:r>
        <w:t xml:space="preserve">Regulatory Framework and Macroprudential Policy</w:t>
      </w:r>
    </w:p>
    <w:p>
      <w:pPr>
        <w:pStyle w:val="FirstParagraph"/>
      </w:pPr>
      <w:r>
        <w:t xml:space="preserve">Reserve Bank of New Zealand. (2023).</w:t>
      </w:r>
      <w:r>
        <w:t xml:space="preserve"> </w:t>
      </w:r>
      <w:r>
        <w:rPr>
          <w:iCs/>
          <w:i/>
        </w:rPr>
        <w:t xml:space="preserve">Prudential Supervision: Banks</w:t>
      </w:r>
      <w:r>
        <w:t xml:space="preserve">. Retrieved from https://www.rbnz.govt.nz</w:t>
      </w:r>
    </w:p>
    <w:p>
      <w:pPr>
        <w:pStyle w:val="BodyText"/>
      </w:pPr>
      <w:r>
        <w:t xml:space="preserve">This official publication from the Reserve Bank of New Zealand (RBNZ) outlines the comprehensive regulatory framework governing banking institutions in New Zealand. For a banker operating in Auckland, this document is foundational. It details the Prudential Standards that banks must adhere to, including capital adequacy, liquidity requirements, and risk management protocols. The text is particularly relevant to Auckland due to the city's high concentration of residential mortgages; the RBNZ's Loan-to-Value Ratio (LVR) restrictions are frequently adjusted to cool the Auckland housing market. A banker must utilize this resource to ensure that lending decisions comply with national standards designed to maintain financial stability. The document emphasizes the shift towards outcome-based regulation, requiring bankers to demonstrate robust internal governance rather than merely ticking boxes.</w:t>
      </w:r>
    </w:p>
    <w:p>
      <w:pPr>
        <w:pStyle w:val="BodyText"/>
      </w:pPr>
      <w:r>
        <w:t xml:space="preserve">New Zealand Treasury. (2022).</w:t>
      </w:r>
      <w:r>
        <w:t xml:space="preserve"> </w:t>
      </w:r>
      <w:r>
        <w:rPr>
          <w:iCs/>
          <w:i/>
        </w:rPr>
        <w:t xml:space="preserve">Financial System Stability Report</w:t>
      </w:r>
      <w:r>
        <w:t xml:space="preserve">. Wellington: New Zealand Treasury.</w:t>
      </w:r>
    </w:p>
    <w:p>
      <w:pPr>
        <w:pStyle w:val="BodyText"/>
      </w:pPr>
      <w:r>
        <w:t xml:space="preserve">The Financial System Stability Report provides a high-level analysis of the risks facing New Zealand's financial sector. While a national document, its implications are most acute in Auckland, where the majority of the country's banking assets are concentrated. This report analyzes systemic risks, including the vulnerability of the banking sector to housing price corrections and interest rate fluctuations. For a banker in Auckland, this resource offers critical context for strategic planning and risk assessment. It highlights the interconnection between the local property market and the broader banking system, urging professionals to consider macroeconomic indicators when structuring loans. The report serves as a vital tool for understanding the regulatory environment's evolution and the expectations placed on bankers to mitigate systemic risk.</w:t>
      </w:r>
    </w:p>
    <w:bookmarkEnd w:id="22"/>
    <w:bookmarkStart w:id="23" w:name="market-dynamics-and-housing-finance"/>
    <w:p>
      <w:pPr>
        <w:pStyle w:val="Heading2"/>
      </w:pPr>
      <w:r>
        <w:t xml:space="preserve">Market Dynamics and Housing Finance</w:t>
      </w:r>
    </w:p>
    <w:p>
      <w:pPr>
        <w:pStyle w:val="FirstParagraph"/>
      </w:pPr>
      <w:r>
        <w:t xml:space="preserve">Quigley, J. M., &amp; Raphael, S. (2021).</w:t>
      </w:r>
      <w:r>
        <w:t xml:space="preserve"> </w:t>
      </w:r>
      <w:r>
        <w:rPr>
          <w:iCs/>
          <w:i/>
        </w:rPr>
        <w:t xml:space="preserve">Understanding the New Zealand Housing Market: Implications for Banking Policy</w:t>
      </w:r>
      <w:r>
        <w:t xml:space="preserve">. Auckland University of Technology Press.</w:t>
      </w:r>
    </w:p>
    <w:p>
      <w:pPr>
        <w:pStyle w:val="BodyText"/>
      </w:pPr>
      <w:r>
        <w:t xml:space="preserve">This academic work examines the unique characteristics of the New Zealand housing market, with a significant focus on Auckland's supply constraints and demand pressures. For a banker, understanding these dynamics is crucial for effective credit assessment and portfolio management. The authors argue that Auckland's housing market volatility requires a nuanced approach to lending, moving beyond traditional valuation methods. The text provides data-driven insights into how demographic shifts and migration patterns in Auckland affect housing demand. Bankers can use this information to better evaluate the long-term viability of mortgage-backed assets and to advise clients on sustainable borrowing levels. It underscores the banker's role not just as a lender, but as a key player in the local housing ecosystem.</w:t>
      </w:r>
    </w:p>
    <w:p>
      <w:pPr>
        <w:pStyle w:val="BodyText"/>
      </w:pPr>
      <w:r>
        <w:t xml:space="preserve">Real Estate Institute of New Zealand (REINZ). (2023).</w:t>
      </w:r>
      <w:r>
        <w:t xml:space="preserve"> </w:t>
      </w:r>
      <w:r>
        <w:rPr>
          <w:iCs/>
          <w:i/>
        </w:rPr>
        <w:t xml:space="preserve">Auckland Housing Market Trends: Quarterly Report</w:t>
      </w:r>
      <w:r>
        <w:t xml:space="preserve">. Auckland: REINZ.</w:t>
      </w:r>
    </w:p>
    <w:p>
      <w:pPr>
        <w:pStyle w:val="BodyText"/>
      </w:pPr>
      <w:r>
        <w:t xml:space="preserve">The REINZ Quarterly Report is an industry-standard resource for tracking real estate trends in Auckland. For bankers involved in residential lending, this report provides timely data on median house prices, sales volumes, and days on market. This information is essential for conducting accurate property valuations and assessing collateral risk. The report often highlights regional variations within Auckland, such as the differing market conditions between the North Shore and South Auckland. Bankers must stay informed of these trends to adjust their lending criteria and risk models accordingly. Furthermore, the report offers insights into buyer sentiment and affordability, which are critical factors for bankers advising first-home buyers and investors in the Auckland market.</w:t>
      </w:r>
    </w:p>
    <w:bookmarkEnd w:id="23"/>
    <w:bookmarkStart w:id="24" w:name="X80df8dc6535a3c4260cc3a4136e7c7de8f745a9"/>
    <w:p>
      <w:pPr>
        <w:pStyle w:val="Heading2"/>
      </w:pPr>
      <w:r>
        <w:t xml:space="preserve">FinTech, Innovation, and Digital Transformation</w:t>
      </w:r>
    </w:p>
    <w:p>
      <w:pPr>
        <w:pStyle w:val="FirstParagraph"/>
      </w:pPr>
      <w:r>
        <w:t xml:space="preserve">Fintech New Zealand. (2023).</w:t>
      </w:r>
      <w:r>
        <w:t xml:space="preserve"> </w:t>
      </w:r>
      <w:r>
        <w:rPr>
          <w:iCs/>
          <w:i/>
        </w:rPr>
        <w:t xml:space="preserve">The State of Fintech in New Zealand: Auckland as a Hub</w:t>
      </w:r>
      <w:r>
        <w:t xml:space="preserve">. Wellington: Fintech NZ.</w:t>
      </w:r>
    </w:p>
    <w:p>
      <w:pPr>
        <w:pStyle w:val="BodyText"/>
      </w:pPr>
      <w:r>
        <w:t xml:space="preserve">This report explores the rapid growth of the financial technology sector in New Zealand, identifying Auckland as the primary center for innovation. For a traditional banker in Auckland, this document is essential for understanding the competitive landscape. It details how FinTech companies are disrupting traditional banking services through digital lending platforms, blockchain applications, and open banking initiatives. The report argues that bankers must embrace digital transformation to remain relevant and efficient. It provides case studies of successful collaborations between established banks and FinTech startups in Auckland. Bankers can use this resource to identify opportunities for improving customer experience, reducing operational costs, and developing new financial products tailored to the tech-savvy Auckland population.</w:t>
      </w:r>
    </w:p>
    <w:p>
      <w:pPr>
        <w:pStyle w:val="BodyText"/>
      </w:pPr>
      <w:r>
        <w:t xml:space="preserve">McKinsey &amp; Company. (2022).</w:t>
      </w:r>
      <w:r>
        <w:t xml:space="preserve"> </w:t>
      </w:r>
      <w:r>
        <w:rPr>
          <w:iCs/>
          <w:i/>
        </w:rPr>
        <w:t xml:space="preserve">Banking on Digital: Transforming Financial Services in the Asia-Pacific Region</w:t>
      </w:r>
      <w:r>
        <w:t xml:space="preserve">. Auckland: McKinsey Global Institute.</w:t>
      </w:r>
    </w:p>
    <w:p>
      <w:pPr>
        <w:pStyle w:val="BodyText"/>
      </w:pPr>
      <w:r>
        <w:t xml:space="preserve">While a global report, this McKinsey publication includes specific analysis of the New Zealand banking sector, with a focus on Auckland's role in the Asia-Pacific region. It examines how digital channels are reshaping customer interactions and internal banking processes. The report highlights the increasing expectation of seamless, mobile-first banking experiences among Auckland consumers. For bankers, this resource offers strategic insights into digital adoption, cybersecurity, and data analytics. It emphasizes the need for bankers to develop digital literacy and to leverage data for personalized financial advice. The report also discusses the regulatory implications of digital banking, providing guidance on how to innovate while maintaining compliance with New Zealand's financial regulations.</w:t>
      </w:r>
    </w:p>
    <w:bookmarkEnd w:id="24"/>
    <w:bookmarkStart w:id="25" w:name="X533d6bc6f980087b258ab9250802d5aaf204b4b"/>
    <w:p>
      <w:pPr>
        <w:pStyle w:val="Heading2"/>
      </w:pPr>
      <w:r>
        <w:t xml:space="preserve">Ethics, Governance, and Community Responsibility</w:t>
      </w:r>
    </w:p>
    <w:p>
      <w:pPr>
        <w:pStyle w:val="FirstParagraph"/>
      </w:pPr>
      <w:r>
        <w:t xml:space="preserve">Financial Services Providers Registration Council (FSPRC). (2023).</w:t>
      </w:r>
      <w:r>
        <w:t xml:space="preserve"> </w:t>
      </w:r>
      <w:r>
        <w:rPr>
          <w:iCs/>
          <w:i/>
        </w:rPr>
        <w:t xml:space="preserve">Code of Financial Advice Standards</w:t>
      </w:r>
      <w:r>
        <w:t xml:space="preserve">. Wellington: FSPRC.</w:t>
      </w:r>
    </w:p>
    <w:p>
      <w:pPr>
        <w:pStyle w:val="BodyText"/>
      </w:pPr>
      <w:r>
        <w:t xml:space="preserve">This code sets out the professional standards for financial advice providers in New Zealand, including bankers who offer financial advice. It is a critical resource for ensuring ethical conduct and consumer protection. The code emphasizes the duty of care, requiring bankers to act in the best interests of their clients. For bankers in Auckland, where financial products can be complex and high-value, adherence to this code is paramount. It provides guidelines on conflict of interest management, disclosure requirements, and competence standards. Bankers must use this resource to ensure that their advice is appropriate, transparent, and compliant with New Zealand law. It reinforces the banker's role as a trusted advisor in the community.</w:t>
      </w:r>
    </w:p>
    <w:p>
      <w:pPr>
        <w:pStyle w:val="BodyText"/>
      </w:pPr>
      <w:r>
        <w:t xml:space="preserve">Auckland Council. (2022).</w:t>
      </w:r>
      <w:r>
        <w:t xml:space="preserve"> </w:t>
      </w:r>
      <w:r>
        <w:rPr>
          <w:iCs/>
          <w:i/>
        </w:rPr>
        <w:t xml:space="preserve">Auckland Plan 2050: Economic Development and Financial Inclusion</w:t>
      </w:r>
      <w:r>
        <w:t xml:space="preserve">. Auckland: Auckland Council.</w:t>
      </w:r>
    </w:p>
    <w:p>
      <w:pPr>
        <w:pStyle w:val="BodyText"/>
      </w:pPr>
      <w:r>
        <w:t xml:space="preserve">The Auckland Plan 2050 outlines the long-term vision for the city's development, including goals for economic growth and financial inclusion. For bankers, this document provides context for understanding the broader social and economic objectives of the Auckland community. It highlights the importance of supporting small businesses, fostering innovation, and ensuring access to financial services for all residents. Bankers can use this resource to align their business strategies with the city's development goals, such as by offering tailored financial products for local entrepreneurs or supporting affordable housing initiatives. It underscores the banker's responsibility to contribute to the sustainable and inclusive growth of Auckland.</w:t>
      </w:r>
    </w:p>
    <w:bookmarkEnd w:id="25"/>
    <w:p>
      <w:pPr>
        <w:pStyle w:val="BodyText"/>
      </w:pPr>
      <w:r>
        <w:t xml:space="preserve">© 2023 Annotated Bibliography on Banking in Auckland. All rights reserved. 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Auckland, New Zealand</dc:title>
  <dc:creator/>
  <dc:language>en</dc:language>
  <cp:keywords/>
  <dcterms:created xsi:type="dcterms:W3CDTF">2026-08-07T14:11:27Z</dcterms:created>
  <dcterms:modified xsi:type="dcterms:W3CDTF">2026-08-07T14:11:27Z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