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Contemporary</w:t>
      </w:r>
      <w:r>
        <w:t xml:space="preserve"> </w:t>
      </w:r>
      <w:r>
        <w:t xml:space="preserve">Russia</w:t>
      </w:r>
      <w:r>
        <w:t xml:space="preserve"> </w:t>
      </w:r>
      <w:r>
        <w:t xml:space="preserve">(Moscow)</w:t>
      </w:r>
    </w:p>
    <w:bookmarkStart w:id="20" w:name="Xaa54cde892c8621f6511dc418c1af646c96b560"/>
    <w:p>
      <w:pPr>
        <w:pStyle w:val="Heading1"/>
      </w:pPr>
      <w:r>
        <w:t xml:space="preserve">Annotated Bibliography: The Role of the Banker in Contemporary Russia (Moscow)</w:t>
      </w:r>
    </w:p>
    <w:p>
      <w:pPr>
        <w:pStyle w:val="FirstParagraph"/>
      </w:pPr>
      <w:r>
        <w:rPr>
          <w:bCs/>
          <w:b/>
        </w:rPr>
        <w:t xml:space="preserve">Introduction:</w:t>
      </w:r>
      <w:r>
        <w:t xml:space="preserve"> </w:t>
      </w:r>
      <w:r>
        <w:t xml:space="preserve">This annotated bibliography compiles essential literature regarding the professional, economic, and regulatory landscape of banking in Russia, with a specific focus on Moscow as the financial capital. The selected sources examine the evolution of the Russian banker from the post-Soviet era to the present day, highlighting the impact of state policy, international sanctions, and digital transformation. These resources are critical for understanding how bankers in Moscow navigate a unique environment characterized by high centralization, geopolitical volatility, and rapid technological adoption.</w:t>
      </w:r>
    </w:p>
    <w:p>
      <w:pPr>
        <w:pStyle w:val="BodyText"/>
      </w:pPr>
      <w:r>
        <w:t xml:space="preserve">Berg, S., &amp; Pistor, K. (2005). The Evolution of Bank Supervision in Russia.</w:t>
      </w:r>
      <w:r>
        <w:t xml:space="preserve"> </w:t>
      </w:r>
      <w:r>
        <w:rPr>
          <w:iCs/>
          <w:i/>
        </w:rPr>
        <w:t xml:space="preserve">Journal of Financial Intermediation</w:t>
      </w:r>
      <w:r>
        <w:t xml:space="preserve">, 14(3), 303-325.</w:t>
      </w:r>
    </w:p>
    <w:p>
      <w:pPr>
        <w:pStyle w:val="BodyText"/>
      </w:pPr>
      <w:r>
        <w:t xml:space="preserve">This seminal academic article provides a historical foundation for understanding the Russian banking sector. It details the transition from the Soviet state-banking model to a market-oriented system. For a banker in Moscow, this text is crucial for understanding the legacy of weak regulation that characterized the 1990s and the subsequent tightening of oversight by the Central Bank of Russia (CBR). The authors analyze how supervisory failures led to systemic crises, offering lessons on risk management and compliance that remain relevant for modern banking professionals operating in Moscow's highly regulated environment.</w:t>
      </w:r>
    </w:p>
    <w:p>
      <w:pPr>
        <w:pStyle w:val="BodyText"/>
      </w:pPr>
      <w:r>
        <w:t xml:space="preserve">Bank Supervision</w:t>
      </w:r>
      <w:r>
        <w:t xml:space="preserve"> </w:t>
      </w:r>
      <w:r>
        <w:t xml:space="preserve">Russian Financial History</w:t>
      </w:r>
      <w:r>
        <w:t xml:space="preserve"> </w:t>
      </w:r>
      <w:r>
        <w:t xml:space="preserve">Central Bank of Russia</w:t>
      </w:r>
    </w:p>
    <w:p>
      <w:pPr>
        <w:pStyle w:val="BodyText"/>
      </w:pPr>
      <w:r>
        <w:t xml:space="preserve">Central Bank of the Russian Federation. (2023).</w:t>
      </w:r>
      <w:r>
        <w:t xml:space="preserve"> </w:t>
      </w:r>
      <w:r>
        <w:rPr>
          <w:iCs/>
          <w:i/>
        </w:rPr>
        <w:t xml:space="preserve">Key Trends in the Development of the Russian Banking Sector</w:t>
      </w:r>
      <w:r>
        <w:t xml:space="preserve">. Moscow: CBR Press.</w:t>
      </w:r>
    </w:p>
    <w:p>
      <w:pPr>
        <w:pStyle w:val="BodyText"/>
      </w:pPr>
      <w:r>
        <w:t xml:space="preserve">As the primary regulatory authority, the Central Bank of Russia publishes this annual report, which is indispensable for any banker operating in Moscow. The document outlines current monetary policy, liquidity conditions, and regulatory expectations. It provides detailed statistics on credit growth, non-performing loans, and capital adequacy ratios specific to the Russian market. For practitioners, this source offers direct insight into the priorities of the CBR, including the push for financial stability and the implementation of macroprudential measures that directly affect daily banking operations in the capital.</w:t>
      </w:r>
    </w:p>
    <w:p>
      <w:pPr>
        <w:pStyle w:val="BodyText"/>
      </w:pPr>
      <w:r>
        <w:t xml:space="preserve">Monetary Policy</w:t>
      </w:r>
      <w:r>
        <w:t xml:space="preserve"> </w:t>
      </w:r>
      <w:r>
        <w:t xml:space="preserve">Regulatory Compliance</w:t>
      </w:r>
      <w:r>
        <w:t xml:space="preserve"> </w:t>
      </w:r>
      <w:r>
        <w:t xml:space="preserve">Moscow Banking Sector</w:t>
      </w:r>
    </w:p>
    <w:p>
      <w:pPr>
        <w:pStyle w:val="BodyText"/>
      </w:pPr>
      <w:r>
        <w:t xml:space="preserve">Gaddy, C. G., &amp; Ickes, B. W. (2012).</w:t>
      </w:r>
      <w:r>
        <w:t xml:space="preserve"> </w:t>
      </w:r>
      <w:r>
        <w:rPr>
          <w:iCs/>
          <w:i/>
        </w:rPr>
        <w:t xml:space="preserve">The Power Rule: Energy, Money, and the Forces of History in Russia</w:t>
      </w:r>
      <w:r>
        <w:t xml:space="preserve">. Brookings Institution Press.</w:t>
      </w:r>
    </w:p>
    <w:p>
      <w:pPr>
        <w:pStyle w:val="BodyText"/>
      </w:pPr>
      <w:r>
        <w:t xml:space="preserve">While not exclusively about banking, this book is essential for understanding the macroeconomic context in which Russian bankers operate. It explores the relationship between energy revenues, state power, and financial flows. For a banker in Moscow, understanding the "resource curse" and the state's reliance on energy exports is critical for assessing sovereign risk and corporate lending strategies. The text elucidates how political objectives often intersect with financial decisions, a reality that defines the professional landscape for bankers in Russia's capital.</w:t>
      </w:r>
    </w:p>
    <w:p>
      <w:pPr>
        <w:pStyle w:val="BodyText"/>
      </w:pPr>
      <w:r>
        <w:t xml:space="preserve">Political Economy</w:t>
      </w:r>
      <w:r>
        <w:t xml:space="preserve"> </w:t>
      </w:r>
      <w:r>
        <w:t xml:space="preserve">Energy Sector</w:t>
      </w:r>
      <w:r>
        <w:t xml:space="preserve"> </w:t>
      </w:r>
      <w:r>
        <w:t xml:space="preserve">State-Business Relations</w:t>
      </w:r>
    </w:p>
    <w:p>
      <w:pPr>
        <w:pStyle w:val="BodyText"/>
      </w:pPr>
      <w:r>
        <w:t xml:space="preserve">Kaufman, D., &amp; Shleifer, A. (2003).</w:t>
      </w:r>
      <w:r>
        <w:t xml:space="preserve"> </w:t>
      </w:r>
      <w:r>
        <w:rPr>
          <w:iCs/>
          <w:i/>
        </w:rPr>
        <w:t xml:space="preserve">Blockholders, Corporate Governance, and Renegotiation of State Privatisation Contracts</w:t>
      </w:r>
      <w:r>
        <w:t xml:space="preserve">.</w:t>
      </w:r>
      <w:r>
        <w:t xml:space="preserve"> </w:t>
      </w:r>
      <w:r>
        <w:rPr>
          <w:iCs/>
          <w:i/>
        </w:rPr>
        <w:t xml:space="preserve">Quarterly Journal of Economics</w:t>
      </w:r>
      <w:r>
        <w:t xml:space="preserve">, 118(1), 135-165.</w:t>
      </w:r>
    </w:p>
    <w:p>
      <w:pPr>
        <w:pStyle w:val="BodyText"/>
      </w:pPr>
      <w:r>
        <w:t xml:space="preserve">This article examines the corporate governance structures that emerged during Russia's privatization process. It is highly relevant for bankers in Moscow who engage in corporate banking and investment activities. The authors discuss the role of blockholders and the frequent renegotiation of contracts, highlighting the legal and institutional risks inherent in the Russian market. Understanding these dynamics is vital for bankers assessing creditworthiness and structuring deals for large Russian enterprises, many of which are headquartered in Moscow.</w:t>
      </w:r>
    </w:p>
    <w:p>
      <w:pPr>
        <w:pStyle w:val="BodyText"/>
      </w:pPr>
      <w:r>
        <w:t xml:space="preserve">Corporate Governance</w:t>
      </w:r>
      <w:r>
        <w:t xml:space="preserve"> </w:t>
      </w:r>
      <w:r>
        <w:t xml:space="preserve">Privatization</w:t>
      </w:r>
      <w:r>
        <w:t xml:space="preserve"> </w:t>
      </w:r>
      <w:r>
        <w:t xml:space="preserve">Corporate Banking</w:t>
      </w:r>
    </w:p>
    <w:p>
      <w:pPr>
        <w:pStyle w:val="BodyText"/>
      </w:pPr>
      <w:r>
        <w:t xml:space="preserve">McKinsey &amp; Company. (2022).</w:t>
      </w:r>
      <w:r>
        <w:t xml:space="preserve"> </w:t>
      </w:r>
      <w:r>
        <w:rPr>
          <w:iCs/>
          <w:i/>
        </w:rPr>
        <w:t xml:space="preserve">Digital Banking in Russia: Leading the Way in Emerging Markets</w:t>
      </w:r>
      <w:r>
        <w:t xml:space="preserve">. McKinsey Global Institute.</w:t>
      </w:r>
    </w:p>
    <w:p>
      <w:pPr>
        <w:pStyle w:val="BodyText"/>
      </w:pPr>
      <w:r>
        <w:t xml:space="preserve">This report highlights Russia's surprising leadership in digital banking adoption, particularly in Moscow. It analyzes how Russian banks have leveraged technology to offer seamless mobile banking, instant payments, and AI-driven customer service. For bankers, this source underscores the necessity of digital transformation to remain competitive. It provides case studies of major Moscow-based banks that have successfully integrated fintech solutions, offering a roadmap for innovation in a market where consumer expectations for digital services are among the highest globally.</w:t>
      </w:r>
    </w:p>
    <w:p>
      <w:pPr>
        <w:pStyle w:val="BodyText"/>
      </w:pPr>
      <w:r>
        <w:t xml:space="preserve">Digital Transformation</w:t>
      </w:r>
      <w:r>
        <w:t xml:space="preserve"> </w:t>
      </w:r>
      <w:r>
        <w:t xml:space="preserve">Fintech</w:t>
      </w:r>
      <w:r>
        <w:t xml:space="preserve"> </w:t>
      </w:r>
      <w:r>
        <w:t xml:space="preserve">Customer Experience</w:t>
      </w:r>
    </w:p>
    <w:p>
      <w:pPr>
        <w:pStyle w:val="BodyText"/>
      </w:pPr>
      <w:r>
        <w:t xml:space="preserve">Pomerantsev, P. (2014).</w:t>
      </w:r>
      <w:r>
        <w:t xml:space="preserve"> </w:t>
      </w:r>
      <w:r>
        <w:rPr>
          <w:iCs/>
          <w:i/>
        </w:rPr>
        <w:t xml:space="preserve">This Is Not Propaganda: Adventures in the War Against Reality</w:t>
      </w:r>
      <w:r>
        <w:t xml:space="preserve">. Faber &amp; Faber.</w:t>
      </w:r>
    </w:p>
    <w:p>
      <w:pPr>
        <w:pStyle w:val="BodyText"/>
      </w:pPr>
      <w:r>
        <w:t xml:space="preserve">Although primarily a work of political journalism, this book offers valuable insights into the information environment and state influence in Russia. For bankers in Moscow, understanding the broader socio-political context is crucial for risk assessment and stakeholder management. The text illustrates how state narratives can influence market sentiment and regulatory actions. It serves as a reminder that banking in Russia is not purely a commercial activity but is deeply embedded in the country's political and media landscape.</w:t>
      </w:r>
    </w:p>
    <w:p>
      <w:pPr>
        <w:pStyle w:val="BodyText"/>
      </w:pPr>
      <w:r>
        <w:t xml:space="preserve">Media Landscape</w:t>
      </w:r>
      <w:r>
        <w:t xml:space="preserve"> </w:t>
      </w:r>
      <w:r>
        <w:t xml:space="preserve">Political Risk</w:t>
      </w:r>
      <w:r>
        <w:t xml:space="preserve"> </w:t>
      </w:r>
      <w:r>
        <w:t xml:space="preserve">Stakeholder Management</w:t>
      </w:r>
    </w:p>
    <w:p>
      <w:pPr>
        <w:pStyle w:val="BodyText"/>
      </w:pPr>
      <w:r>
        <w:t xml:space="preserve">Sabel, C. F., &amp; Zeitlin, J. (2010).</w:t>
      </w:r>
      <w:r>
        <w:t xml:space="preserve"> </w:t>
      </w:r>
      <w:r>
        <w:rPr>
          <w:iCs/>
          <w:i/>
        </w:rPr>
        <w:t xml:space="preserve">Experimentalist Governance in the European Union: Towards a New Architecture</w:t>
      </w:r>
      <w:r>
        <w:t xml:space="preserve">. Oxford University Press.</w:t>
      </w:r>
    </w:p>
    <w:p>
      <w:pPr>
        <w:pStyle w:val="BodyText"/>
      </w:pPr>
      <w:r>
        <w:t xml:space="preserve">While focused on the EU, this work is referenced here for its comparative value. It contrasts the European regulatory approach with the more centralized model in Russia. For bankers in Moscow, understanding these differences is important when dealing with cross-border transactions or international partners. It highlights the challenges of aligning Russian banking practices with global standards, a key concern for Moscow's financial institutions seeking to maintain international credibility despite geopolitical tensions.</w:t>
      </w:r>
    </w:p>
    <w:p>
      <w:pPr>
        <w:pStyle w:val="BodyText"/>
      </w:pPr>
      <w:r>
        <w:t xml:space="preserve">Regulatory Comparison</w:t>
      </w:r>
      <w:r>
        <w:t xml:space="preserve"> </w:t>
      </w:r>
      <w:r>
        <w:t xml:space="preserve">International Standards</w:t>
      </w:r>
      <w:r>
        <w:t xml:space="preserve"> </w:t>
      </w:r>
      <w:r>
        <w:t xml:space="preserve">Cross-Border Banking</w:t>
      </w:r>
    </w:p>
    <w:p>
      <w:pPr>
        <w:pStyle w:val="BodyText"/>
      </w:pPr>
      <w:r>
        <w:t xml:space="preserve">World Bank. (2021).</w:t>
      </w:r>
      <w:r>
        <w:t xml:space="preserve"> </w:t>
      </w:r>
      <w:r>
        <w:rPr>
          <w:iCs/>
          <w:i/>
        </w:rPr>
        <w:t xml:space="preserve">Russia Economic Report: Navigating the New Normal</w:t>
      </w:r>
      <w:r>
        <w:t xml:space="preserve">. Washington, DC: World Bank Group.</w:t>
      </w:r>
    </w:p>
    <w:p>
      <w:pPr>
        <w:pStyle w:val="BodyText"/>
      </w:pPr>
      <w:r>
        <w:t xml:space="preserve">This report provides an external, data-driven analysis of Russia's economic performance and banking sector resilience. It assesses the impact of sanctions, inflation, and exchange rate volatility on financial institutions. For bankers in Moscow, this source offers an objective perspective on macroeconomic risks and opportunities. It includes recommendations for policy reforms and structural adjustments that could shape the future operating environment for banks in the capital, making it a valuable resource for strategic planning.</w:t>
      </w:r>
    </w:p>
    <w:p>
      <w:pPr>
        <w:pStyle w:val="BodyText"/>
      </w:pPr>
      <w:r>
        <w:t xml:space="preserve">Macroeconomic Analysis</w:t>
      </w:r>
      <w:r>
        <w:t xml:space="preserve"> </w:t>
      </w:r>
      <w:r>
        <w:t xml:space="preserve">Sanctions Impact</w:t>
      </w:r>
      <w:r>
        <w:t xml:space="preserve"> </w:t>
      </w:r>
      <w:r>
        <w:t xml:space="preserve">Strategic Planning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Contemporary Russia (Moscow)</dc:title>
  <dc:creator/>
  <dc:language>en</dc:language>
  <cp:keywords/>
  <dcterms:created xsi:type="dcterms:W3CDTF">2026-08-07T10:39:51Z</dcterms:created>
  <dcterms:modified xsi:type="dcterms:W3CDTF">2026-08-07T10:39:51Z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