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Jeddah,</w:t>
      </w:r>
      <w:r>
        <w:t xml:space="preserve"> </w:t>
      </w:r>
      <w:r>
        <w:t xml:space="preserve">Saudi</w:t>
      </w:r>
      <w:r>
        <w:t xml:space="preserve"> </w:t>
      </w:r>
      <w:r>
        <w:t xml:space="preserve">Arabia</w:t>
      </w:r>
    </w:p>
    <w:bookmarkStart w:id="20" w:name="X68e9223a0693a78cfbcd4a1a124e2e5b3c1f6f3"/>
    <w:p>
      <w:pPr>
        <w:pStyle w:val="Heading1"/>
      </w:pPr>
      <w:r>
        <w:t xml:space="preserve">Annotated Bibliography: The Evolving Role of the Banker in Jeddah, Saudi Arabia</w:t>
      </w:r>
    </w:p>
    <w:p>
      <w:pPr>
        <w:pStyle w:val="FirstParagraph"/>
      </w:pPr>
      <w:r>
        <w:rPr>
          <w:bCs/>
          <w:b/>
        </w:rPr>
        <w:t xml:space="preserve">Subject:</w:t>
      </w:r>
      <w:r>
        <w:t xml:space="preserve"> </w:t>
      </w:r>
      <w:r>
        <w:t xml:space="preserve">Banking, Finance, and Economic Transformation</w:t>
      </w:r>
      <w:r>
        <w:br/>
      </w:r>
      <w:r>
        <w:rPr>
          <w:bCs/>
          <w:b/>
        </w:rPr>
        <w:t xml:space="preserve">Location Focus:</w:t>
      </w:r>
      <w:r>
        <w:t xml:space="preserve"> </w:t>
      </w:r>
      <w:r>
        <w:t xml:space="preserve">Jeddah, Kingdom of Saudi Arabia</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professional landscape of the banker within the Kingdom of Saudi Arabia, with a specific focus on Jeddah. As the commercial capital of the nation and a primary gateway for trade, Jeddah represents a unique microcosm of the broader Saudi financial sector. The documents selected below explore the intersection of traditional Islamic finance principles, the rapid digitization mandated by Vision 2030, and the regulatory frameworks enforced by the Saudi Central Bank (SAMA). These sources provide critical insight into how the modern banker in Jeddah must navigate complex economic reforms, cultural expectations, and technological disruptions.</w:t>
      </w:r>
    </w:p>
    <w:bookmarkEnd w:id="21"/>
    <w:bookmarkStart w:id="30" w:name="selected-bibliography"/>
    <w:p>
      <w:pPr>
        <w:pStyle w:val="Heading2"/>
      </w:pPr>
      <w:r>
        <w:t xml:space="preserve">Selected Bibliography</w:t>
      </w:r>
    </w:p>
    <w:bookmarkStart w:id="22" w:name="vision-2030-and-the-financial-sector"/>
    <w:p>
      <w:pPr>
        <w:pStyle w:val="Heading3"/>
      </w:pPr>
      <w:r>
        <w:t xml:space="preserve">1. Vision 2030 and the Financial Sector</w:t>
      </w:r>
    </w:p>
    <w:p>
      <w:pPr>
        <w:pStyle w:val="FirstParagraph"/>
      </w:pPr>
      <w:r>
        <w:t xml:space="preserve">Ministry of Finance, Kingdom of Saudi Arabia. (2016).</w:t>
      </w:r>
      <w:r>
        <w:t xml:space="preserve"> </w:t>
      </w:r>
      <w:r>
        <w:rPr>
          <w:iCs/>
          <w:i/>
        </w:rPr>
        <w:t xml:space="preserve">Vision 2030: The Financial Sector Development Program</w:t>
      </w:r>
      <w:r>
        <w:t xml:space="preserve">. Riyadh: Government Press.</w:t>
      </w:r>
    </w:p>
    <w:p>
      <w:pPr>
        <w:pStyle w:val="BodyText"/>
      </w:pPr>
      <w:r>
        <w:t xml:space="preserve">This foundational government document outlines the strategic roadmap for transforming Saudi Arabia’s financial landscape. For the banker operating in Jeddah, this text is essential as it details the shift away from oil dependency toward a diversified economy. The document highlights the necessity for bankers to facilitate private sector growth, particularly in logistics and trade, which are central to Jeddah’s identity as the home of the King Abdulaziz Port. It argues that the role of the banker must evolve from a passive lender to an active economic partner. The text provides data on expected growth in non-oil sectors, offering bankers in Jeddah a framework for risk assessment and portfolio diversification in alignment with national goals.</w:t>
      </w:r>
    </w:p>
    <w:bookmarkEnd w:id="22"/>
    <w:bookmarkStart w:id="23" w:name="X3f9262931f2352a4d5d460635840e5fbe1fa262"/>
    <w:p>
      <w:pPr>
        <w:pStyle w:val="Heading3"/>
      </w:pPr>
      <w:r>
        <w:t xml:space="preserve">2. Islamic Finance in the Commercial Capital</w:t>
      </w:r>
    </w:p>
    <w:p>
      <w:pPr>
        <w:pStyle w:val="FirstParagraph"/>
      </w:pPr>
      <w:r>
        <w:t xml:space="preserve">Al-Suhaimi, M. (2021).</w:t>
      </w:r>
      <w:r>
        <w:t xml:space="preserve"> </w:t>
      </w:r>
      <w:r>
        <w:rPr>
          <w:iCs/>
          <w:i/>
        </w:rPr>
        <w:t xml:space="preserve">Sharia-Compliant Banking Practices in the Gulf: A Case Study of Jeddah</w:t>
      </w:r>
      <w:r>
        <w:t xml:space="preserve">. Journal of Islamic Banking and Finance, 14(2), 45-62.</w:t>
      </w:r>
    </w:p>
    <w:p>
      <w:pPr>
        <w:pStyle w:val="BodyText"/>
      </w:pPr>
      <w:r>
        <w:t xml:space="preserve">This academic article provides a granular analysis of how Islamic finance principles are applied in Jeddah’s banking sector. Unlike Riyadh, which is heavily influenced by government contracting, Jeddah’s banking environment is deeply rooted in trade finance and SME lending. Al-Suhaimi examines the specific challenges bankers face in structuring Murabaha and Ijara contracts for local merchants. The study is particularly relevant for understanding the cultural nuances of banking in Jeddah, where trust and personal relationships remain paramount despite regulatory modernization. It offers practical insights into maintaining Sharia compliance while meeting the competitive demands of a globalized trade hub.</w:t>
      </w:r>
    </w:p>
    <w:bookmarkEnd w:id="23"/>
    <w:bookmarkStart w:id="24" w:name="regulatory-frameworks-and-sama"/>
    <w:p>
      <w:pPr>
        <w:pStyle w:val="Heading3"/>
      </w:pPr>
      <w:r>
        <w:t xml:space="preserve">3. Regulatory Frameworks and SAMA</w:t>
      </w:r>
    </w:p>
    <w:p>
      <w:pPr>
        <w:pStyle w:val="FirstParagraph"/>
      </w:pPr>
      <w:r>
        <w:t xml:space="preserve">Saudi Central Bank (SAMA). (2022).</w:t>
      </w:r>
      <w:r>
        <w:t xml:space="preserve"> </w:t>
      </w:r>
      <w:r>
        <w:rPr>
          <w:iCs/>
          <w:i/>
        </w:rPr>
        <w:t xml:space="preserve">Regulatory Guidelines for Digital Transformation and Cybersecurity in Banking</w:t>
      </w:r>
      <w:r>
        <w:t xml:space="preserve">. Jeddah: SAMA Regional Office Publications.</w:t>
      </w:r>
    </w:p>
    <w:p>
      <w:pPr>
        <w:pStyle w:val="BodyText"/>
      </w:pPr>
      <w:r>
        <w:t xml:space="preserve">As the regulatory authority, SAMA’s guidelines are mandatory reading for any banker in the Kingdom. This specific publication focuses on the stringent cybersecurity and digital transformation requirements imposed on financial institutions. Given Jeddah’s status as a tech-forward city with a high adoption rate of mobile banking, this document is critical. It details the compliance obligations for bankers regarding data privacy, anti-money laundering (AML) protocols, and the integration of AI in customer service. The text underscores the banker’s responsibility to ensure that digital innovation does not compromise the integrity of the financial system, a key concern for regulators in the Red Sea region.</w:t>
      </w:r>
    </w:p>
    <w:bookmarkEnd w:id="24"/>
    <w:bookmarkStart w:id="25" w:name="Xb8db493699dfbf0f99f7c6207331645af5271aa"/>
    <w:p>
      <w:pPr>
        <w:pStyle w:val="Heading3"/>
      </w:pPr>
      <w:r>
        <w:t xml:space="preserve">4. The Impact of Fintech on Traditional Banking</w:t>
      </w:r>
    </w:p>
    <w:p>
      <w:pPr>
        <w:pStyle w:val="FirstParagraph"/>
      </w:pPr>
      <w:r>
        <w:t xml:space="preserve">Al-Rashid, K., &amp; Smith, J. (2023).</w:t>
      </w:r>
      <w:r>
        <w:t xml:space="preserve"> </w:t>
      </w:r>
      <w:r>
        <w:rPr>
          <w:iCs/>
          <w:i/>
        </w:rPr>
        <w:t xml:space="preserve">Fintech Disruption in Saudi Arabia: Opportunities for the Modern Banker</w:t>
      </w:r>
      <w:r>
        <w:t xml:space="preserve">. Middle East Economic Digest, 28(4), 112-125.</w:t>
      </w:r>
    </w:p>
    <w:p>
      <w:pPr>
        <w:pStyle w:val="BodyText"/>
      </w:pPr>
      <w:r>
        <w:t xml:space="preserve">This report analyzes the surge of fintech startups in Saudi Arabia and their impact on traditional banking models. Jeddah is emerging as a secondary hub for fintech innovation, complementing Riyadh. The authors argue that the banker in Jeddah must adopt a collaborative approach with fintech firms rather than viewing them solely as competitors. The article provides case studies of successful partnerships between established banks in Jeddah and local payment solution providers. It highlights the need for bankers to upskill in digital literacy and agile project management to remain relevant in a market where customer expectations for speed and convenience are rapidly increasing.</w:t>
      </w:r>
    </w:p>
    <w:bookmarkEnd w:id="25"/>
    <w:bookmarkStart w:id="26" w:name="trade-finance-and-the-red-sea-gateway"/>
    <w:p>
      <w:pPr>
        <w:pStyle w:val="Heading3"/>
      </w:pPr>
      <w:r>
        <w:t xml:space="preserve">5. Trade Finance and the Red Sea Gateway</w:t>
      </w:r>
    </w:p>
    <w:p>
      <w:pPr>
        <w:pStyle w:val="FirstParagraph"/>
      </w:pPr>
      <w:r>
        <w:t xml:space="preserve">International Trade Forum. (2022).</w:t>
      </w:r>
      <w:r>
        <w:t xml:space="preserve"> </w:t>
      </w:r>
      <w:r>
        <w:rPr>
          <w:iCs/>
          <w:i/>
        </w:rPr>
        <w:t xml:space="preserve">Jeddah as a Global Trade Hub: Implications for Banking Services</w:t>
      </w:r>
      <w:r>
        <w:t xml:space="preserve">. World Bank Group Publications.</w:t>
      </w:r>
    </w:p>
    <w:p>
      <w:pPr>
        <w:pStyle w:val="BodyText"/>
      </w:pPr>
      <w:r>
        <w:t xml:space="preserve">This World Bank publication focuses on the economic significance of Jeddah’s ports and free zones. It provides a comprehensive overview of the trade finance needs of importers and exporters operating in the region. For the banker, this document is a vital resource for understanding the complexities of letters of credit, supply chain financing, and currency risk management in a multi-currency environment. The report emphasizes the banker’s role in facilitating seamless cross-border transactions, which is crucial for Jeddah’s economy. It also discusses the impact of new trade agreements on banking flows, offering strategic advice for bankers looking to expand their corporate client base in the logistics sector.</w:t>
      </w:r>
    </w:p>
    <w:bookmarkEnd w:id="26"/>
    <w:bookmarkStart w:id="27" w:name="human-capital-and-saudization"/>
    <w:p>
      <w:pPr>
        <w:pStyle w:val="Heading3"/>
      </w:pPr>
      <w:r>
        <w:t xml:space="preserve">6. Human Capital and Saudization</w:t>
      </w:r>
    </w:p>
    <w:p>
      <w:pPr>
        <w:pStyle w:val="FirstParagraph"/>
      </w:pPr>
      <w:r>
        <w:t xml:space="preserve">Human Resources Development Fund (HRDF). (2023).</w:t>
      </w:r>
      <w:r>
        <w:t xml:space="preserve"> </w:t>
      </w:r>
      <w:r>
        <w:rPr>
          <w:iCs/>
          <w:i/>
        </w:rPr>
        <w:t xml:space="preserve">Nitaqat and the Future of Work in the Banking Sector</w:t>
      </w:r>
      <w:r>
        <w:t xml:space="preserve">. Riyadh: HRDF Reports.</w:t>
      </w:r>
    </w:p>
    <w:p>
      <w:pPr>
        <w:pStyle w:val="BodyText"/>
      </w:pPr>
      <w:r>
        <w:t xml:space="preserve">This report addresses the critical issue of Saudization (Nitaqat) within the banking industry. It outlines the government’s expectations for banks to hire and train Saudi nationals, particularly in Jeddah where the labor market is dynamic. The document provides data on the skills gap in the local workforce and the initiatives available to bridge it. For the banker, this is not just a compliance issue but a strategic imperative. The report suggests that successful banks in Jeddah are those that invest in local talent development, creating a workforce that understands both the cultural context and the technical demands of modern banking. It offers actionable strategies for recruitment and retention in a competitive market.</w:t>
      </w:r>
    </w:p>
    <w:bookmarkEnd w:id="27"/>
    <w:bookmarkStart w:id="28" w:name="real-estate-and-mortgage-banking"/>
    <w:p>
      <w:pPr>
        <w:pStyle w:val="Heading3"/>
      </w:pPr>
      <w:r>
        <w:t xml:space="preserve">7. Real Estate and Mortgage Banking</w:t>
      </w:r>
    </w:p>
    <w:p>
      <w:pPr>
        <w:pStyle w:val="FirstParagraph"/>
      </w:pPr>
      <w:r>
        <w:t xml:space="preserve">Al-Otaibi, F. (2022).</w:t>
      </w:r>
      <w:r>
        <w:t xml:space="preserve"> </w:t>
      </w:r>
      <w:r>
        <w:rPr>
          <w:iCs/>
          <w:i/>
        </w:rPr>
        <w:t xml:space="preserve">The Housing Market in Jeddah: Trends and Banking Implications</w:t>
      </w:r>
      <w:r>
        <w:t xml:space="preserve">. Saudi Real Estate Journal, 9(1), 78-90.</w:t>
      </w:r>
    </w:p>
    <w:p>
      <w:pPr>
        <w:pStyle w:val="BodyText"/>
      </w:pPr>
      <w:r>
        <w:t xml:space="preserve">This journal article examines the real estate market in Jeddah, focusing on the demand for residential and commercial mortgages. It analyzes the impact of government housing programs on the banking sector’s loan portfolios. The author provides insights into the risk assessment models used by bankers in Jeddah to evaluate property values in a fluctuating market. The article is particularly useful for understanding the intersection of urban development projects, such as the Jeddah Central development, and banking services. It highlights the banker’s role in financing large-scale infrastructure projects while managing credit risk in a rapidly changing urban landscape.</w:t>
      </w:r>
    </w:p>
    <w:bookmarkEnd w:id="28"/>
    <w:bookmarkStart w:id="29" w:name="customer-experience-in-a-digital-age"/>
    <w:p>
      <w:pPr>
        <w:pStyle w:val="Heading3"/>
      </w:pPr>
      <w:r>
        <w:t xml:space="preserve">8. Customer Experience in a Digital Age</w:t>
      </w:r>
    </w:p>
    <w:p>
      <w:pPr>
        <w:pStyle w:val="FirstParagraph"/>
      </w:pPr>
      <w:r>
        <w:t xml:space="preserve">McKinsey &amp; Company. (2023).</w:t>
      </w:r>
      <w:r>
        <w:t xml:space="preserve"> </w:t>
      </w:r>
      <w:r>
        <w:rPr>
          <w:iCs/>
          <w:i/>
        </w:rPr>
        <w:t xml:space="preserve">The Future of Banking in the Middle East: Customer-Centric Strategies</w:t>
      </w:r>
      <w:r>
        <w:t xml:space="preserve">. Dubai: McKinsey Global Institute.</w:t>
      </w:r>
    </w:p>
    <w:p>
      <w:pPr>
        <w:pStyle w:val="BodyText"/>
      </w:pPr>
      <w:r>
        <w:t xml:space="preserve">This global consulting report includes a dedicated section on Saudi Arabia, with specific references to consumer behavior in Jeddah. It argues that the banker’s role is shifting towards becoming a financial advisor and experience curator. The report highlights the high expectations of Saudi consumers for personalized, omnichannel banking services. It provides data on the adoption of digital wallets and AI-driven financial tools in Jeddah. The text offers strategic recommendations for bankers on how to leverage data analytics to enhance customer engagement and loyalty. It emphasizes that in a market as competitive as Jeddah, superior customer experience is a key differentiator for banking institutions.</w:t>
      </w:r>
    </w:p>
    <w:bookmarkEnd w:id="29"/>
    <w:bookmarkEnd w:id="30"/>
    <w:p>
      <w:pPr>
        <w:pStyle w:val="BodyText"/>
      </w:pPr>
      <w:r>
        <w:t xml:space="preserve">This annotated bibliography is intended for educational and professional reference purposes. It reflects the current economic and regulatory environment in Jeddah, Saudi Arabia, as of late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Jeddah, Saudi Arabia</dc:title>
  <dc:creator/>
  <dc:language>en</dc:language>
  <cp:keywords/>
  <dcterms:created xsi:type="dcterms:W3CDTF">2026-08-07T20:26:20Z</dcterms:created>
  <dcterms:modified xsi:type="dcterms:W3CDTF">2026-08-07T20:26:20Z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