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c3cdb641892864e6120bfa970c583fd86a3b3f8"/>
    <w:p>
      <w:pPr>
        <w:pStyle w:val="Heading1"/>
      </w:pPr>
      <w:r>
        <w:t xml:space="preserve">Annotated Bibliography: The Evolving Role of the Banker in Riyadh, Saudi Arabia</w:t>
      </w:r>
    </w:p>
    <w:p>
      <w:pPr>
        <w:pStyle w:val="FirstParagraph"/>
      </w:pPr>
      <w:r>
        <w:rPr>
          <w:bCs/>
          <w:b/>
        </w:rPr>
        <w:t xml:space="preserve">Introduction:</w:t>
      </w:r>
      <w:r>
        <w:t xml:space="preserve"> </w:t>
      </w:r>
      <w:r>
        <w:t xml:space="preserve">The following annotated bibliography compiles essential literature regarding the banking sector in Riyadh, Saudi Arabia. As the capital city and the financial hub of the Kingdom, Riyadh is the epicenter of the transformation driven by Vision 2030. This document focuses on the changing responsibilities of the modern banker in this specific geopolitical and economic context, covering regulatory frameworks, digital transformation, Islamic finance, and the shift from traditional lending to strategic advisory roles.</w:t>
      </w:r>
    </w:p>
    <w:bookmarkStart w:id="20" w:name="regulatory-frameworks-and-governance"/>
    <w:p>
      <w:pPr>
        <w:pStyle w:val="Heading2"/>
      </w:pPr>
      <w:r>
        <w:t xml:space="preserve">Regulatory Frameworks and Governance</w:t>
      </w:r>
    </w:p>
    <w:p>
      <w:pPr>
        <w:pStyle w:val="FirstParagraph"/>
      </w:pPr>
      <w:r>
        <w:t xml:space="preserve">Al-Salman, H. (2021).</w:t>
      </w:r>
      <w:r>
        <w:t xml:space="preserve"> </w:t>
      </w:r>
      <w:r>
        <w:rPr>
          <w:iCs/>
          <w:i/>
        </w:rPr>
        <w:t xml:space="preserve">Central Bank of Saudi Arabia Regulations: Compliance and Risk Management in the Modern Era.</w:t>
      </w:r>
      <w:r>
        <w:t xml:space="preserve"> </w:t>
      </w:r>
      <w:r>
        <w:t xml:space="preserve">Riyadh: Saudi Banking Institute Press.</w:t>
      </w:r>
    </w:p>
    <w:p>
      <w:pPr>
        <w:pStyle w:val="BodyText"/>
      </w:pPr>
      <w:r>
        <w:t xml:space="preserve">This comprehensive text provides a detailed analysis of the regulatory environment overseen by the Saudi Central Bank (SAMA). For a banker operating in Riyadh, this resource is indispensable for understanding the strict compliance requirements regarding anti-money laundering (AML) and know-your-customer (KYC) protocols. The author highlights how recent regulatory shifts have forced bankers to transition from mere transaction processors to active risk managers. The text is particularly relevant for professionals in Riyadh dealing with cross-border transactions and the integration of global financial standards with local Shariah compliance.</w:t>
      </w:r>
    </w:p>
    <w:p>
      <w:pPr>
        <w:pStyle w:val="BodyText"/>
      </w:pPr>
      <w:r>
        <w:t xml:space="preserve">Ministry of Investment of the Kingdom of Saudi Arabia. (2023).</w:t>
      </w:r>
      <w:r>
        <w:t xml:space="preserve"> </w:t>
      </w:r>
      <w:r>
        <w:rPr>
          <w:iCs/>
          <w:i/>
        </w:rPr>
        <w:t xml:space="preserve">Investment Climate Report: Riyadh as a Global Financial Hub.</w:t>
      </w:r>
      <w:r>
        <w:t xml:space="preserve"> </w:t>
      </w:r>
      <w:r>
        <w:t xml:space="preserve">Riyadh: MISA Publications.</w:t>
      </w:r>
    </w:p>
    <w:p>
      <w:pPr>
        <w:pStyle w:val="BodyText"/>
      </w:pPr>
      <w:r>
        <w:t xml:space="preserve">While primarily a government report, this document is critical for bankers in Riyadh who are increasingly acting as investment advisors. It outlines the incentives and legal structures available to foreign and local investors in the capital. The report details the banking requirements for establishing businesses in Riyadh, offering bankers the necessary data to guide corporate clients through capitalization and liquidity management. It underscores the banker's role in facilitating the flow of foreign direct investment (FDI) into the Kingdom.</w:t>
      </w:r>
    </w:p>
    <w:bookmarkEnd w:id="20"/>
    <w:bookmarkStart w:id="21" w:name="digital-transformation-and-fintech"/>
    <w:p>
      <w:pPr>
        <w:pStyle w:val="Heading2"/>
      </w:pPr>
      <w:r>
        <w:t xml:space="preserve">Digital Transformation and Fintech</w:t>
      </w:r>
    </w:p>
    <w:p>
      <w:pPr>
        <w:pStyle w:val="FirstParagraph"/>
      </w:pPr>
      <w:r>
        <w:t xml:space="preserve">Al-Harbi, M., &amp; Smith, J. (2022).</w:t>
      </w:r>
      <w:r>
        <w:t xml:space="preserve"> </w:t>
      </w:r>
      <w:r>
        <w:rPr>
          <w:iCs/>
          <w:i/>
        </w:rPr>
        <w:t xml:space="preserve">Digital Banking in the Gulf: The Riyadh Case Study.</w:t>
      </w:r>
      <w:r>
        <w:t xml:space="preserve"> </w:t>
      </w:r>
      <w:r>
        <w:t xml:space="preserve">Journal of Middle Eastern Finance, 15(3), 45-67.</w:t>
      </w:r>
    </w:p>
    <w:p>
      <w:pPr>
        <w:pStyle w:val="BodyText"/>
      </w:pPr>
      <w:r>
        <w:t xml:space="preserve">This academic article examines the rapid digitization of banking services in Riyadh. It argues that the modern banker in Saudi Arabia must possess a hybrid skill set combining financial acumen with technological literacy. The authors analyze the impact of SAMA's "FinTech Vision" on traditional banking roles, suggesting that bankers in Riyadh are now expected to manage digital ecosystems rather than just physical branches. The study provides empirical data on customer adoption rates of mobile banking in the capital, offering insights into how bankers can tailor digital products to the local demographic.</w:t>
      </w:r>
    </w:p>
    <w:p>
      <w:pPr>
        <w:pStyle w:val="BodyText"/>
      </w:pPr>
      <w:r>
        <w:t xml:space="preserve">World Bank. (2023).</w:t>
      </w:r>
      <w:r>
        <w:t xml:space="preserve"> </w:t>
      </w:r>
      <w:r>
        <w:rPr>
          <w:iCs/>
          <w:i/>
        </w:rPr>
        <w:t xml:space="preserve">Saudi Arabia Economic Monitor: Navigating the Digital Transition.</w:t>
      </w:r>
      <w:r>
        <w:t xml:space="preserve"> </w:t>
      </w:r>
      <w:r>
        <w:t xml:space="preserve">Washington, D.C.: World Bank Group.</w:t>
      </w:r>
    </w:p>
    <w:p>
      <w:pPr>
        <w:pStyle w:val="BodyText"/>
      </w:pPr>
      <w:r>
        <w:t xml:space="preserve">This report offers a macroeconomic perspective on the digital transformation of the Saudi banking sector. It is highly relevant for senior bankers in Riyadh involved in strategic planning. The document discusses the infrastructure developments in Riyadh that support fintech innovation, such as the Riyadh Digital District. It emphasizes the need for bankers to collaborate with fintech startups to enhance financial inclusion and efficiency. The report serves as a benchmark for understanding how global digital trends are being localized within the Saudi regulatory framework.</w:t>
      </w:r>
    </w:p>
    <w:bookmarkEnd w:id="21"/>
    <w:bookmarkStart w:id="22" w:name="islamic-finance-and-ethical-banking"/>
    <w:p>
      <w:pPr>
        <w:pStyle w:val="Heading2"/>
      </w:pPr>
      <w:r>
        <w:t xml:space="preserve">Islamic Finance and Ethical Banking</w:t>
      </w:r>
    </w:p>
    <w:p>
      <w:pPr>
        <w:pStyle w:val="FirstParagraph"/>
      </w:pPr>
      <w:r>
        <w:t xml:space="preserve">El-Gamal, M. A. (2020).</w:t>
      </w:r>
      <w:r>
        <w:t xml:space="preserve"> </w:t>
      </w:r>
      <w:r>
        <w:rPr>
          <w:iCs/>
          <w:i/>
        </w:rPr>
        <w:t xml:space="preserve">Islamic Finance: Law, Economics, and Practice (2nd Edition).</w:t>
      </w:r>
      <w:r>
        <w:t xml:space="preserve"> </w:t>
      </w:r>
      <w:r>
        <w:t xml:space="preserve">Cambridge: Cambridge University Press.</w:t>
      </w:r>
    </w:p>
    <w:p>
      <w:pPr>
        <w:pStyle w:val="BodyText"/>
      </w:pPr>
      <w:r>
        <w:t xml:space="preserve">Although a global text, this book is foundational for any banker practicing in Riyadh, where Islamic finance is the dominant paradigm. It provides a rigorous examination of Shariah-compliant financial instruments such as Sukuk and Murabaha. For the Riyadh-based banker, this resource is essential for structuring complex financial products that adhere to religious principles while meeting modern investment needs. The text clarifies the theological and legal nuances that bankers must navigate to ensure their operations remain compliant with the expectations of Saudi stakeholders and regulators.</w:t>
      </w:r>
    </w:p>
    <w:p>
      <w:pPr>
        <w:pStyle w:val="BodyText"/>
      </w:pPr>
      <w:r>
        <w:t xml:space="preserve">Saudi Organization for Chartered and Professional Accountants (SOCPA). (2022).</w:t>
      </w:r>
      <w:r>
        <w:t xml:space="preserve"> </w:t>
      </w:r>
      <w:r>
        <w:rPr>
          <w:iCs/>
          <w:i/>
        </w:rPr>
        <w:t xml:space="preserve">Accounting and Auditing Standards for Islamic Financial Institutions in Saudi Arabia.</w:t>
      </w:r>
      <w:r>
        <w:t xml:space="preserve"> </w:t>
      </w:r>
      <w:r>
        <w:t xml:space="preserve">Riyadh: SOCPA.</w:t>
      </w:r>
    </w:p>
    <w:p>
      <w:pPr>
        <w:pStyle w:val="BodyText"/>
      </w:pPr>
      <w:r>
        <w:t xml:space="preserve">This technical manual is a practical guide for bankers in Riyadh responsible for financial reporting and auditing. It details the specific accounting standards required for Islamic financial institutions operating within the Kingdom. The document is crucial for ensuring transparency and accuracy in financial statements, which is a key concern for investors in Riyadh's growing capital markets. It highlights the specialized knowledge required of bankers to manage the unique risks and profit-sharing mechanisms inherent in Islamic finance.</w:t>
      </w:r>
    </w:p>
    <w:bookmarkEnd w:id="22"/>
    <w:bookmarkStart w:id="23" w:name="economic-diversification-and-vision-2030"/>
    <w:p>
      <w:pPr>
        <w:pStyle w:val="Heading2"/>
      </w:pPr>
      <w:r>
        <w:t xml:space="preserve">Economic Diversification and Vision 2030</w:t>
      </w:r>
    </w:p>
    <w:p>
      <w:pPr>
        <w:pStyle w:val="FirstParagraph"/>
      </w:pPr>
      <w:r>
        <w:t xml:space="preserve">Vision 2030 Implementation Office. (2021).</w:t>
      </w:r>
      <w:r>
        <w:t xml:space="preserve"> </w:t>
      </w:r>
      <w:r>
        <w:rPr>
          <w:iCs/>
          <w:i/>
        </w:rPr>
        <w:t xml:space="preserve">Vision 2030: The Banking Sector Transformation Program.</w:t>
      </w:r>
      <w:r>
        <w:t xml:space="preserve"> </w:t>
      </w:r>
      <w:r>
        <w:t xml:space="preserve">Riyadh: Government of Saudi Arabia.</w:t>
      </w:r>
    </w:p>
    <w:p>
      <w:pPr>
        <w:pStyle w:val="BodyText"/>
      </w:pPr>
      <w:r>
        <w:t xml:space="preserve">This official government document outlines the strategic goals for the banking sector as part of the broader Vision 2030 initiative. It is the primary reference for understanding the future direction of banking in Riyadh. The program emphasizes the need for bankers to support non-oil sectors, including tourism, entertainment, and technology. It calls for a shift in banking culture towards greater customer-centricity and innovation. Bankers in Riyadh use this document to align their institutional strategies with national objectives, ensuring they contribute to the Kingdom's economic diversification.</w:t>
      </w:r>
    </w:p>
    <w:p>
      <w:pPr>
        <w:pStyle w:val="BodyText"/>
      </w:pPr>
      <w:r>
        <w:t xml:space="preserve">Al-Rashid, K. (2023).</w:t>
      </w:r>
      <w:r>
        <w:t xml:space="preserve"> </w:t>
      </w:r>
      <w:r>
        <w:rPr>
          <w:iCs/>
          <w:i/>
        </w:rPr>
        <w:t xml:space="preserve">Corporate Banking in a Diversifying Economy: Opportunities in Riyadh.</w:t>
      </w:r>
      <w:r>
        <w:t xml:space="preserve"> </w:t>
      </w:r>
      <w:r>
        <w:t xml:space="preserve">Arabian Business Review, 12(1), 22-35.</w:t>
      </w:r>
    </w:p>
    <w:p>
      <w:pPr>
        <w:pStyle w:val="BodyText"/>
      </w:pPr>
      <w:r>
        <w:t xml:space="preserve">This article focuses on the specific opportunities available to corporate bankers in Riyadh as the economy diversifies away from oil. It discusses the financing needs of giga-projects such as NEOM and the Riyadh Metro, and how bankers can structure long-term financing solutions for these initiatives. The author argues that the role of the banker in Riyadh is evolving into that of a strategic partner for large-scale infrastructure development. The article provides case studies of successful banking partnerships in the Kingdom, offering practical insights for professionals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Riyadh, Saudi Arabia</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