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Abu</w:t>
      </w:r>
      <w:r>
        <w:t xml:space="preserve"> </w:t>
      </w:r>
      <w:r>
        <w:t xml:space="preserve">Dhabi,</w:t>
      </w:r>
      <w:r>
        <w:t xml:space="preserve"> </w:t>
      </w:r>
      <w:r>
        <w:t xml:space="preserve">United</w:t>
      </w:r>
      <w:r>
        <w:t xml:space="preserve"> </w:t>
      </w:r>
      <w:r>
        <w:t xml:space="preserve">Arab</w:t>
      </w:r>
      <w:r>
        <w:t xml:space="preserve"> </w:t>
      </w:r>
      <w:r>
        <w:t xml:space="preserve">Emirates</w:t>
      </w:r>
    </w:p>
    <w:bookmarkStart w:id="32" w:name="X36f8253efb706bfa11ac0c6761e354a96d39328"/>
    <w:p>
      <w:pPr>
        <w:pStyle w:val="Heading1"/>
      </w:pPr>
      <w:r>
        <w:t xml:space="preserve">Annotated Bibliography: The Evolving Role of the Banker in Abu Dhabi, United Arab Emirates</w:t>
      </w:r>
    </w:p>
    <w:p>
      <w:pPr>
        <w:pStyle w:val="FirstParagraph"/>
      </w:pPr>
      <w:r>
        <w:t xml:space="preserve">This annotated bibliography compiles key resources regarding the professional landscape of banking within the United Arab Emirates, with a specific focus on the capital city, Abu Dhabi. As the financial hub of the UAE, Abu Dhabi presents a unique environment where traditional Islamic finance principles intersect with modern global banking standards. The following entries examine the regulatory frameworks, ethical obligations, technological adaptations, and strategic responsibilities of the modern banker operating in this dynamic jurisdiction.</w:t>
      </w:r>
    </w:p>
    <w:bookmarkStart w:id="22" w:name="Xedcae8d042d1e0bd05f06c311c4fc10627d7c70"/>
    <w:p>
      <w:pPr>
        <w:pStyle w:val="Heading2"/>
      </w:pPr>
      <w:r>
        <w:t xml:space="preserve">Regulatory Frameworks and Central Bank Oversight</w:t>
      </w:r>
    </w:p>
    <w:bookmarkStart w:id="20" w:name="X9f7db18a6bc22d004d7cd31b138d95f1d6919e3"/>
    <w:p>
      <w:pPr>
        <w:pStyle w:val="Heading3"/>
      </w:pPr>
      <w:r>
        <w:t xml:space="preserve">Central Bank of the United Arab Emirates. (2023).</w:t>
      </w:r>
      <w:r>
        <w:t xml:space="preserve"> </w:t>
      </w:r>
      <w:r>
        <w:t xml:space="preserve">Banking Regulation and Supervision Framework.</w:t>
      </w:r>
      <w:r>
        <w:t xml:space="preserve"> </w:t>
      </w:r>
      <w:r>
        <w:t xml:space="preserve">Abu Dhabi: Central Bank of the UAE.</w:t>
      </w:r>
    </w:p>
    <w:p>
      <w:pPr>
        <w:pStyle w:val="FirstParagraph"/>
      </w:pPr>
      <w:r>
        <w:t xml:space="preserve">This official publication outlines the comprehensive regulatory environment governing financial institutions in the UAE. For a banker in Abu Dhabi, this document is foundational, detailing the capital adequacy requirements, risk management protocols, and compliance standards mandated by the Central Bank. It highlights the shift towards a more robust supervisory regime designed to ensure financial stability. The text is essential for understanding the legal boundaries within which Abu Dhabi-based bankers must operate, particularly regarding anti-money laundering (AML) and counter-terrorist financing (CTF) measures. It serves as a primary reference for ensuring that banking practices align with national economic goals and international regulatory expectations.</w:t>
      </w:r>
    </w:p>
    <w:bookmarkEnd w:id="20"/>
    <w:bookmarkStart w:id="21" w:name="Xf3ddbe60f836ce83a5ef7c455012ebbcd07a6f7"/>
    <w:p>
      <w:pPr>
        <w:pStyle w:val="Heading3"/>
      </w:pPr>
      <w:r>
        <w:t xml:space="preserve">Al-Najjar, B. (2021).</w:t>
      </w:r>
      <w:r>
        <w:t xml:space="preserve"> </w:t>
      </w:r>
      <w:r>
        <w:t xml:space="preserve">Islamic Finance in the UAE: Principles and Practice.</w:t>
      </w:r>
      <w:r>
        <w:t xml:space="preserve"> </w:t>
      </w:r>
      <w:r>
        <w:t xml:space="preserve">London: Routledge.</w:t>
      </w:r>
    </w:p>
    <w:p>
      <w:pPr>
        <w:pStyle w:val="FirstParagraph"/>
      </w:pPr>
      <w:r>
        <w:t xml:space="preserve">This scholarly work provides a deep dive into the mechanics of Islamic banking, a dominant force in Abu Dhabi’s financial sector. The author explains how bankers in the UAE navigate Sharia-compliant financial products, such as Murabaha and Ijara, which differ significantly from conventional interest-based models. The book is particularly relevant for bankers in Abu Dhabi who must possess dual expertise: a strong grasp of conventional financial theory and a nuanced understanding of Islamic jurisprudence. It offers critical insights into how ethical banking principles are institutionalized in the UAE, providing a framework for bankers to structure deals that are both profitable and religiously compliant.</w:t>
      </w:r>
    </w:p>
    <w:bookmarkEnd w:id="21"/>
    <w:bookmarkEnd w:id="22"/>
    <w:bookmarkStart w:id="25" w:name="X646c6ea8cdad1d146e1f383002fbed45a3f1a44"/>
    <w:p>
      <w:pPr>
        <w:pStyle w:val="Heading2"/>
      </w:pPr>
      <w:r>
        <w:t xml:space="preserve">Ethics, Governance, and Professional Standards</w:t>
      </w:r>
    </w:p>
    <w:bookmarkStart w:id="23" w:name="X0cdb21e4998b51a47fbdbeddcea18923a5da6e2"/>
    <w:p>
      <w:pPr>
        <w:pStyle w:val="Heading3"/>
      </w:pPr>
      <w:r>
        <w:t xml:space="preserve">Abu Dhabi Global Market (ADGM). (2022).</w:t>
      </w:r>
      <w:r>
        <w:t xml:space="preserve"> </w:t>
      </w:r>
      <w:r>
        <w:t xml:space="preserve">Financial Services and Markets Regulations.</w:t>
      </w:r>
      <w:r>
        <w:t xml:space="preserve"> </w:t>
      </w:r>
      <w:r>
        <w:t xml:space="preserve">Abu Dhabi: ADGM Regulatory Authority.</w:t>
      </w:r>
    </w:p>
    <w:p>
      <w:pPr>
        <w:pStyle w:val="FirstParagraph"/>
      </w:pPr>
      <w:r>
        <w:t xml:space="preserve">The ADGM operates as an international financial centre within Abu Dhabi, utilizing a common law framework. This regulatory text is crucial for bankers operating within the ADGM jurisdiction, distinguishing their obligations from those in the onshore UAE market. The document emphasizes high standards of corporate governance, transparency, and consumer protection. It is an invaluable resource for understanding the expectations placed on bankers regarding fiduciary duties and conflict of interest management. For professionals in Abu Dhabi, this text illustrates the dual-track nature of the local banking industry, where adherence to global best practices is mandatory for maintaining the city’s reputation as a premier financial destination.</w:t>
      </w:r>
    </w:p>
    <w:bookmarkEnd w:id="23"/>
    <w:bookmarkStart w:id="24" w:name="X6494c3cba9f6788027e21a6d59d9cbdde7dcb2c"/>
    <w:p>
      <w:pPr>
        <w:pStyle w:val="Heading3"/>
      </w:pPr>
      <w:r>
        <w:t xml:space="preserve">World Bank Group. (2020).</w:t>
      </w:r>
      <w:r>
        <w:t xml:space="preserve"> </w:t>
      </w:r>
      <w:r>
        <w:t xml:space="preserve">UAE Financial Sector Assessment Program: Technical Note on Banking Supervision.</w:t>
      </w:r>
      <w:r>
        <w:t xml:space="preserve"> </w:t>
      </w:r>
      <w:r>
        <w:t xml:space="preserve">Washington, D.C.: World Bank.</w:t>
      </w:r>
    </w:p>
    <w:p>
      <w:pPr>
        <w:pStyle w:val="FirstParagraph"/>
      </w:pPr>
      <w:r>
        <w:t xml:space="preserve">This technical note offers an external, expert evaluation of the UAE’s banking sector, with specific observations on Abu Dhabi’s major financial institutions. It assesses the effectiveness of supervisory practices and the resilience of banks against economic shocks. For the modern banker, this document provides a macro-level perspective on the health of the industry and the areas where regulatory focus is intensifying. It underscores the importance of robust internal controls and risk assessment frameworks. The analysis is particularly useful for bankers involved in strategic planning, as it highlights the systemic risks and opportunities inherent in the UAE’s economic diversification strategy.</w:t>
      </w:r>
    </w:p>
    <w:bookmarkEnd w:id="24"/>
    <w:bookmarkEnd w:id="25"/>
    <w:bookmarkStart w:id="28" w:name="X5a60f428847194157dcc02eed3003af1c7e1414"/>
    <w:p>
      <w:pPr>
        <w:pStyle w:val="Heading2"/>
      </w:pPr>
      <w:r>
        <w:t xml:space="preserve">Technological Innovation and Digital Transformation</w:t>
      </w:r>
    </w:p>
    <w:bookmarkStart w:id="26" w:name="X7bb06a8eb1ad54fc58fe97f71322a9ddaae92ae"/>
    <w:p>
      <w:pPr>
        <w:pStyle w:val="Heading3"/>
      </w:pPr>
      <w:r>
        <w:t xml:space="preserve">McKinsey &amp; Company. (2023).</w:t>
      </w:r>
      <w:r>
        <w:t xml:space="preserve"> </w:t>
      </w:r>
      <w:r>
        <w:t xml:space="preserve">The Future of Banking in the Middle East: Digital Transformation in Abu Dhabi.</w:t>
      </w:r>
      <w:r>
        <w:t xml:space="preserve"> </w:t>
      </w:r>
      <w:r>
        <w:t xml:space="preserve">New York: McKinsey Global Institute.</w:t>
      </w:r>
    </w:p>
    <w:p>
      <w:pPr>
        <w:pStyle w:val="FirstParagraph"/>
      </w:pPr>
      <w:r>
        <w:t xml:space="preserve">This report analyzes the rapid digitalization of the banking sector in Abu Dhabi. It details how bankers are adapting to the rise of fintech, artificial intelligence, and blockchain technologies. The document argues that the role of the banker in the UAE is shifting from transactional processing to strategic advisory and relationship management, driven by automation. It provides case studies of local banks that have successfully integrated digital solutions to enhance customer experience. This resource is critical for bankers seeking to remain relevant in a tech-savvy market, offering actionable insights into how to leverage technology for competitive advantage while maintaining security and trust.</w:t>
      </w:r>
    </w:p>
    <w:bookmarkEnd w:id="26"/>
    <w:bookmarkStart w:id="27" w:name="Xd9234d3dc41f31ed00bcb41cd779d431f2be43a"/>
    <w:p>
      <w:pPr>
        <w:pStyle w:val="Heading3"/>
      </w:pPr>
      <w:r>
        <w:t xml:space="preserve">International Monetary Fund (IMF). (2022).</w:t>
      </w:r>
      <w:r>
        <w:t xml:space="preserve"> </w:t>
      </w:r>
      <w:r>
        <w:t xml:space="preserve">UAE Article IV Consultation: Financial Sector Developments.</w:t>
      </w:r>
      <w:r>
        <w:t xml:space="preserve"> </w:t>
      </w:r>
      <w:r>
        <w:t xml:space="preserve">Washington, D.C.: IMF.</w:t>
      </w:r>
    </w:p>
    <w:p>
      <w:pPr>
        <w:pStyle w:val="FirstParagraph"/>
      </w:pPr>
      <w:r>
        <w:t xml:space="preserve">The IMF’s consultation report provides a comprehensive overview of the UAE’s economic and financial landscape. It highlights the resilience of Abu Dhabi’s banking sector and its role in supporting the national economy. The report discusses the implications of global economic trends on local banking operations, including interest rate fluctuations and liquidity management. For bankers in Abu Dhabi, this document serves as a strategic tool for understanding the broader economic context in which they operate. It emphasizes the need for agility and forward-looking risk management in response to global financial dynamics.</w:t>
      </w:r>
    </w:p>
    <w:bookmarkEnd w:id="27"/>
    <w:bookmarkEnd w:id="28"/>
    <w:bookmarkStart w:id="31" w:name="Xecb80497e3be5a34ce55a36276a84d2f8c261c4"/>
    <w:p>
      <w:pPr>
        <w:pStyle w:val="Heading2"/>
      </w:pPr>
      <w:r>
        <w:t xml:space="preserve">Strategic Role in Economic Diversification</w:t>
      </w:r>
    </w:p>
    <w:bookmarkStart w:id="29" w:name="Xf61ec9ec5886155598c41af3dcfcc7143729b4a"/>
    <w:p>
      <w:pPr>
        <w:pStyle w:val="Heading3"/>
      </w:pPr>
      <w:r>
        <w:t xml:space="preserve">Abu Dhabi Department of Economic Development (ADED). (2023).</w:t>
      </w:r>
      <w:r>
        <w:t xml:space="preserve"> </w:t>
      </w:r>
      <w:r>
        <w:t xml:space="preserve">Abu Dhabi Economic Vision 2030: Financial Sector Pillars.</w:t>
      </w:r>
      <w:r>
        <w:t xml:space="preserve"> </w:t>
      </w:r>
      <w:r>
        <w:t xml:space="preserve">Abu Dhabi: ADED.</w:t>
      </w:r>
    </w:p>
    <w:p>
      <w:pPr>
        <w:pStyle w:val="FirstParagraph"/>
      </w:pPr>
      <w:r>
        <w:t xml:space="preserve">This government publication outlines the strategic goals for Abu Dhabi’s economy, with a significant focus on the financial sector. It positions bankers as key enablers of economic diversification, tasked with funding innovation, supporting small and medium-sized enterprises (SMEs), and facilitating foreign investment. The document provides a clear roadmap for how banking activities align with national priorities. For bankers in Abu Dhabi, it is essential reading for understanding the expectations of government stakeholders and for identifying growth opportunities in emerging sectors such as renewable energy, tourism, and technology. It reinforces the idea that the banker’s role extends beyond profit generation to contributing to the nation’s long-term prosperity.</w:t>
      </w:r>
    </w:p>
    <w:bookmarkEnd w:id="29"/>
    <w:bookmarkStart w:id="30" w:name="Xeb94493cbe52514bd2dbdf5a942ea80692447f9"/>
    <w:p>
      <w:pPr>
        <w:pStyle w:val="Heading3"/>
      </w:pPr>
      <w:r>
        <w:t xml:space="preserve">Deloitte Middle East. (2023).</w:t>
      </w:r>
      <w:r>
        <w:t xml:space="preserve"> </w:t>
      </w:r>
      <w:r>
        <w:t xml:space="preserve">Banking and Financial Services Outlook: UAE and Abu Dhabi.</w:t>
      </w:r>
      <w:r>
        <w:t xml:space="preserve"> </w:t>
      </w:r>
      <w:r>
        <w:t xml:space="preserve">Dubai: Deloitte.</w:t>
      </w:r>
    </w:p>
    <w:p>
      <w:pPr>
        <w:pStyle w:val="FirstParagraph"/>
      </w:pPr>
      <w:r>
        <w:t xml:space="preserve">This industry outlook report offers practical insights into the current challenges and opportunities facing bankers in Abu Dhabi. It covers topics such as talent acquisition, regulatory compliance, and customer expectations. The report highlights the increasing demand for bankers who possess cross-cultural competencies and a deep understanding of the local market. It also discusses the impact of sustainability and ESG (Environmental, Social, and Governance) criteria on banking decisions. This resource is highly relevant for bankers looking to enhance their professional skills and align their practices with global trends while serving the unique needs of the Abu Dhabi market.</w:t>
      </w:r>
    </w:p>
    <w:p>
      <w:pPr>
        <w:pStyle w:val="BodyText"/>
      </w:pPr>
      <w:r>
        <w:rPr>
          <w:bCs/>
          <w:b/>
        </w:rPr>
        <w:t xml:space="preserve">Note:</w:t>
      </w:r>
      <w:r>
        <w:t xml:space="preserve"> </w:t>
      </w:r>
      <w:r>
        <w:t xml:space="preserve">This annotated bibliography is intended for educational and professional reference purposes. Regulations and market conditions in the United Arab Emirates are subject to change; always consult the latest official publications from the Central Bank of the UAE and relevant authorities for current compliance requirements.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Banker in Abu Dhabi, United Arab Emirates</dc:title>
  <dc:creator/>
  <dc:language>en</dc:language>
  <cp:keywords/>
  <dcterms:created xsi:type="dcterms:W3CDTF">2026-08-06T23:56:00Z</dcterms:created>
  <dcterms:modified xsi:type="dcterms:W3CDTF">2026-08-06T23:56:00Z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