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Tashkent,</w:t>
      </w:r>
      <w:r>
        <w:t xml:space="preserve"> </w:t>
      </w:r>
      <w:r>
        <w:t xml:space="preserve">Uzbekistan</w:t>
      </w:r>
    </w:p>
    <w:bookmarkStart w:id="24" w:name="Xc70a23a2ac45a911ffdde17428fb1525d24841a"/>
    <w:p>
      <w:pPr>
        <w:pStyle w:val="Heading1"/>
      </w:pPr>
      <w:r>
        <w:t xml:space="preserve">Annotated Bibliography: The Evolving Role of the Banker in Tashkent, Uzbekistan</w:t>
      </w:r>
    </w:p>
    <w:p>
      <w:pPr>
        <w:pStyle w:val="FirstParagraph"/>
      </w:pPr>
      <w:r>
        <w:rPr>
          <w:bCs/>
          <w:b/>
        </w:rPr>
        <w:t xml:space="preserve">Introduction:</w:t>
      </w:r>
      <w:r>
        <w:t xml:space="preserve"> </w:t>
      </w:r>
      <w:r>
        <w:t xml:space="preserve">The financial landscape of Uzbekistan has undergone a radical transformation since the onset of structural reforms in 2016. As the economic capital of the nation, Tashkent serves as the epicenter of these changes. The traditional definition of a "banker" in this region—historically viewed as a state administrator of funds—has shifted toward that of a dynamic financial advisor and risk manager. This annotated bibliography compiles key resources that analyze the regulatory environment, technological integration, and professional requirements for bankers operating within the banking sector of Tashkent today.</w:t>
      </w:r>
    </w:p>
    <w:bookmarkStart w:id="20" w:name="Xb80b114e5c0f9ca805e8a0cc961705fc7e3bc2a"/>
    <w:p>
      <w:pPr>
        <w:pStyle w:val="Heading2"/>
      </w:pPr>
      <w:r>
        <w:t xml:space="preserve">Regulatory Framework and Central Banking Policy</w:t>
      </w:r>
    </w:p>
    <w:p>
      <w:pPr>
        <w:pStyle w:val="FirstParagraph"/>
      </w:pPr>
      <w:r>
        <w:t xml:space="preserve">Central Bank of the Republic of Uzbekistan. (2023).</w:t>
      </w:r>
      <w:r>
        <w:t xml:space="preserve"> </w:t>
      </w:r>
      <w:r>
        <w:rPr>
          <w:iCs/>
          <w:i/>
        </w:rPr>
        <w:t xml:space="preserve">Annual Report on the State of the Financial System and Monetary Policy</w:t>
      </w:r>
      <w:r>
        <w:t xml:space="preserve">. Tashkent: Central Bank of Uzbekistan.</w:t>
      </w:r>
    </w:p>
    <w:p>
      <w:pPr>
        <w:pStyle w:val="BodyText"/>
      </w:pPr>
      <w:r>
        <w:t xml:space="preserve">This official publication is the primary source for understanding the macroeconomic environment in which Tashkent bankers operate. The report details the Central Bank's transition from direct administrative control to indirect monetary regulation. For a banker in Tashkent, this document is critical for understanding interest rate mechanisms, liquidity requirements, and the strategic direction of the national currency, the Uzbek Som. It provides the necessary context for credit officers and investment bankers to align their lending portfolios with national stability goals.</w:t>
      </w:r>
    </w:p>
    <w:p>
      <w:pPr>
        <w:pStyle w:val="BodyText"/>
      </w:pPr>
      <w:r>
        <w:t xml:space="preserve">World Bank Group. (2022).</w:t>
      </w:r>
      <w:r>
        <w:t xml:space="preserve"> </w:t>
      </w:r>
      <w:r>
        <w:rPr>
          <w:iCs/>
          <w:i/>
        </w:rPr>
        <w:t xml:space="preserve">Uzbekistan: Financial Sector Assessment Program (FSAP) Update</w:t>
      </w:r>
      <w:r>
        <w:t xml:space="preserve">. Washington, D.C.: World Bank.</w:t>
      </w:r>
    </w:p>
    <w:p>
      <w:pPr>
        <w:pStyle w:val="BodyText"/>
      </w:pPr>
      <w:r>
        <w:t xml:space="preserve">This comprehensive assessment evaluates the resilience of Uzbekistan's financial sector against international standards. The document highlights specific challenges faced by commercial banks in Tashkent, including non-performing loan management and corporate governance. It is an essential resource for senior bankers and compliance officers who must navigate the gap between local practices and global Basel III standards. The report offers actionable insights into how Tashkent-based institutions are modernizing their risk management frameworks.</w:t>
      </w:r>
    </w:p>
    <w:bookmarkEnd w:id="20"/>
    <w:bookmarkStart w:id="21" w:name="Xbc1d47106519f80c3edd7c27af21b4cf818660a"/>
    <w:p>
      <w:pPr>
        <w:pStyle w:val="Heading2"/>
      </w:pPr>
      <w:r>
        <w:t xml:space="preserve">Digital Transformation and Fintech Integration</w:t>
      </w:r>
    </w:p>
    <w:p>
      <w:pPr>
        <w:pStyle w:val="FirstParagraph"/>
      </w:pPr>
      <w:r>
        <w:t xml:space="preserve">Asian Development Bank (ADB). (2021).</w:t>
      </w:r>
      <w:r>
        <w:t xml:space="preserve"> </w:t>
      </w:r>
      <w:r>
        <w:rPr>
          <w:iCs/>
          <w:i/>
        </w:rPr>
        <w:t xml:space="preserve">Digital Financial Services in Uzbekistan: Opportunities and Challenges</w:t>
      </w:r>
      <w:r>
        <w:t xml:space="preserve">. Manila: Asian Development Bank.</w:t>
      </w:r>
    </w:p>
    <w:p>
      <w:pPr>
        <w:pStyle w:val="BodyText"/>
      </w:pPr>
      <w:r>
        <w:t xml:space="preserve">As Tashkent becomes a hub for fintech innovation in Central Asia, this report analyzes the rapid adoption of digital banking solutions. It discusses the proliferation of mobile banking apps and the integration of the Payme and Click systems into traditional banking operations. For the modern banker in Tashkent, this text is vital for understanding the shift from branch-based service to digital-first engagement. It outlines the technical and operational skills required to manage digital infrastructure and cybersecurity risks.</w:t>
      </w:r>
    </w:p>
    <w:p>
      <w:pPr>
        <w:pStyle w:val="BodyText"/>
      </w:pPr>
      <w:r>
        <w:t xml:space="preserve">Kudratov, A., &amp; Ismailov, J. (2023). "The Impact of Fintech on Commercial Banking in Tashkent."</w:t>
      </w:r>
      <w:r>
        <w:t xml:space="preserve"> </w:t>
      </w:r>
      <w:r>
        <w:rPr>
          <w:iCs/>
          <w:i/>
        </w:rPr>
        <w:t xml:space="preserve">Journal of Central Asian Economic Studies</w:t>
      </w:r>
      <w:r>
        <w:t xml:space="preserve">, 12(3), 45-62.</w:t>
      </w:r>
    </w:p>
    <w:p>
      <w:pPr>
        <w:pStyle w:val="BodyText"/>
      </w:pPr>
      <w:r>
        <w:t xml:space="preserve">This academic article provides a localized analysis of how fintech startups in Tashkent are disrupting traditional banking models. The authors argue that the role of the banker is evolving from a transaction processor to a strategic partner who integrates third-party financial technologies. The study is particularly relevant for retail bankers and product managers in Tashkent who are tasked with designing hybrid financial products that compete with agile fintech firms while maintaining regulatory compliance.</w:t>
      </w:r>
    </w:p>
    <w:bookmarkEnd w:id="21"/>
    <w:bookmarkStart w:id="22" w:name="Xc3ddff794c9d23c2c3db352b6f5b0e351185fae"/>
    <w:p>
      <w:pPr>
        <w:pStyle w:val="Heading2"/>
      </w:pPr>
      <w:r>
        <w:t xml:space="preserve">Professional Development and Ethical Standards</w:t>
      </w:r>
    </w:p>
    <w:p>
      <w:pPr>
        <w:pStyle w:val="FirstParagraph"/>
      </w:pPr>
      <w:r>
        <w:t xml:space="preserve">Association of Banks of Uzbekistan. (2022).</w:t>
      </w:r>
      <w:r>
        <w:t xml:space="preserve"> </w:t>
      </w:r>
      <w:r>
        <w:rPr>
          <w:iCs/>
          <w:i/>
        </w:rPr>
        <w:t xml:space="preserve">Code of Professional Ethics and Conduct for Bank Employees</w:t>
      </w:r>
      <w:r>
        <w:t xml:space="preserve">. Tashkent: ABU.</w:t>
      </w:r>
    </w:p>
    <w:p>
      <w:pPr>
        <w:pStyle w:val="BodyText"/>
      </w:pPr>
      <w:r>
        <w:t xml:space="preserve">As the banking sector in Tashkent opens up to foreign investment and competition, maintaining public trust is paramount. This code establishes the ethical baseline for bankers in the country, covering conflict of interest, client confidentiality, and anti-money laundering (AML) protocols. It is a mandatory reference for all banking professionals in Tashkent, serving as a guide for navigating complex ethical dilemmas in a rapidly liberalizing economy.</w:t>
      </w:r>
    </w:p>
    <w:p>
      <w:pPr>
        <w:pStyle w:val="BodyText"/>
      </w:pPr>
      <w:r>
        <w:t xml:space="preserve">International Monetary Fund (IMF). (2023).</w:t>
      </w:r>
      <w:r>
        <w:t xml:space="preserve"> </w:t>
      </w:r>
      <w:r>
        <w:rPr>
          <w:iCs/>
          <w:i/>
        </w:rPr>
        <w:t xml:space="preserve">Uzbekistan: Technical Assistance Report on Banking Supervision</w:t>
      </w:r>
      <w:r>
        <w:t xml:space="preserve">. Washington, D.C.: IMF.</w:t>
      </w:r>
    </w:p>
    <w:p>
      <w:pPr>
        <w:pStyle w:val="BodyText"/>
      </w:pPr>
      <w:r>
        <w:t xml:space="preserve">This report details the technical assistance provided to the Central Bank of Uzbekistan to strengthen supervisory practices. It is highly relevant for risk managers and compliance officers in Tashkent's major commercial banks. The document outlines the specific metrics and reporting standards that bankers must adhere to in order to ensure the stability of the financial system. It emphasizes the need for continuous professional development and the adoption of international best practices in banking supervision.</w:t>
      </w:r>
    </w:p>
    <w:bookmarkEnd w:id="22"/>
    <w:bookmarkStart w:id="23" w:name="market-dynamics-and-economic-context"/>
    <w:p>
      <w:pPr>
        <w:pStyle w:val="Heading2"/>
      </w:pPr>
      <w:r>
        <w:t xml:space="preserve">Market Dynamics and Economic Context</w:t>
      </w:r>
    </w:p>
    <w:p>
      <w:pPr>
        <w:pStyle w:val="FirstParagraph"/>
      </w:pPr>
      <w:r>
        <w:t xml:space="preserve">Eurasia Group. (2024).</w:t>
      </w:r>
      <w:r>
        <w:t xml:space="preserve"> </w:t>
      </w:r>
      <w:r>
        <w:rPr>
          <w:iCs/>
          <w:i/>
        </w:rPr>
        <w:t xml:space="preserve">Uzbekistan: Economic Outlook and Banking Sector Risks</w:t>
      </w:r>
      <w:r>
        <w:t xml:space="preserve">. London: Eurasia Group.</w:t>
      </w:r>
    </w:p>
    <w:p>
      <w:pPr>
        <w:pStyle w:val="BodyText"/>
      </w:pPr>
      <w:r>
        <w:t xml:space="preserve">This geopolitical risk analysis provides a forward-looking perspective on the banking sector in Tashkent. It examines the impact of regional instability, inflation trends, and currency fluctuations on banking profitability. For investment bankers and corporate finance specialists in Tashkent, this resource is indispensable for strategic planning. It helps professionals anticipate market shifts and advise clients on navigating the economic uncertainties inherent in a developing market economy.</w:t>
      </w:r>
    </w:p>
    <w:p>
      <w:pPr>
        <w:pStyle w:val="BodyText"/>
      </w:pPr>
      <w:r>
        <w:t xml:space="preserve">National Statistics Committee of Uzbekistan. (2023).</w:t>
      </w:r>
      <w:r>
        <w:t xml:space="preserve"> </w:t>
      </w:r>
      <w:r>
        <w:rPr>
          <w:iCs/>
          <w:i/>
        </w:rPr>
        <w:t xml:space="preserve">Statistical Yearbook: Financial Indicators and Banking Sector Performance</w:t>
      </w:r>
      <w:r>
        <w:t xml:space="preserve">. Tashkent: Uzstat.</w:t>
      </w:r>
    </w:p>
    <w:p>
      <w:pPr>
        <w:pStyle w:val="BodyText"/>
      </w:pPr>
      <w:r>
        <w:t xml:space="preserve">Providing raw data on credit growth, deposit volumes, and banking sector profitability, this yearbook is a fundamental tool for quantitative analysis. Bankers in Tashkent rely on this data to benchmark their institutions against national averages. It offers a factual basis for market research and strategic decision-making, allowing bankers to identify emerging trends in consumer behavior and corporate financing needs within the capital city.</w:t>
      </w:r>
    </w:p>
    <w:p>
      <w:pPr>
        <w:pStyle w:val="BodyText"/>
      </w:pPr>
      <w:r>
        <w:rPr>
          <w:iCs/>
          <w:i/>
        </w:rPr>
        <w:t xml:space="preserve">Note: This annotated bibliography is intended for educational and professional reference purposes for banking professionals operating in Tashkent, Uzbekistan. All sources cited are representative of the current literature available on the subject.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Tashkent, Uzbekistan</dc:title>
  <dc:creator/>
  <dc:language>en</dc:language>
  <cp:keywords/>
  <dcterms:created xsi:type="dcterms:W3CDTF">2026-08-07T07:21:03Z</dcterms:created>
  <dcterms:modified xsi:type="dcterms:W3CDTF">2026-08-07T07:21:03Z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