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Berlin,</w:t>
      </w:r>
      <w:r>
        <w:t xml:space="preserve"> </w:t>
      </w:r>
      <w:r>
        <w:t xml:space="preserve">Germany</w:t>
      </w:r>
    </w:p>
    <w:bookmarkStart w:id="23" w:name="X5380e4578fc6550c79136cf0ef1ee25e964be3c"/>
    <w:p>
      <w:pPr>
        <w:pStyle w:val="Heading1"/>
      </w:pPr>
      <w:r>
        <w:t xml:space="preserve">Annotated Bibliography: Biomedical Engineering in Berlin, Germany</w:t>
      </w:r>
    </w:p>
    <w:p>
      <w:pPr>
        <w:pStyle w:val="FirstParagraph"/>
      </w:pPr>
      <w:r>
        <w:t xml:space="preserve">The following annotated bibliography provides a curated selection of resources relevant to the field of Biomedical Engineering within the specific context of Berlin, Germany. This collection addresses regulatory frameworks, academic institutions, industry trends, and professional standards that define the role of a Biomedical Engineer in this dynamic European hub. The selected texts offer critical insights into the intersection of medical technology, engineering innovation, and the German healthcare system.</w:t>
      </w:r>
    </w:p>
    <w:bookmarkStart w:id="20" w:name="regulatory-and-legal-frameworks"/>
    <w:p>
      <w:pPr>
        <w:pStyle w:val="Heading2"/>
      </w:pPr>
      <w:r>
        <w:t xml:space="preserve">Regulatory and Legal Frameworks</w:t>
      </w:r>
    </w:p>
    <w:p>
      <w:pPr>
        <w:pStyle w:val="FirstParagraph"/>
      </w:pPr>
      <w:r>
        <w:t xml:space="preserve">European Commission. (2017). Regulation (EU) 2017/745 on medical devices (MDR). Official Journal of the European Union.</w:t>
      </w:r>
    </w:p>
    <w:p>
      <w:pPr>
        <w:pStyle w:val="BodyText"/>
      </w:pPr>
      <w:r>
        <w:t xml:space="preserve">This regulation is the cornerstone of medical device law in the European Union, including Germany. For a Biomedical Engineer working in Berlin, understanding the MDR is non-negotiable. The document outlines the rigorous requirements for the design, manufacturing, and post-market surveillance of medical devices. It replaces the previous directives and introduces stricter clinical evaluation requirements. This resource is essential for engineers involved in product development at Berlin-based startups or established firms like Siemens Healthineers, as it dictates the compliance pathway necessary to bring innovations to the German and European markets.</w:t>
      </w:r>
    </w:p>
    <w:p>
      <w:pPr>
        <w:pStyle w:val="BodyText"/>
      </w:pPr>
      <w:r>
        <w:t xml:space="preserve">Bundesinstitut für Arzneimittel und Medizinprodukte (BfArM). (2023). Medical Devices Act (Medizinproduktegesetz - MPG). Federal Institute for Drugs and Medical Devices.</w:t>
      </w:r>
    </w:p>
    <w:p>
      <w:pPr>
        <w:pStyle w:val="BodyText"/>
      </w:pPr>
      <w:r>
        <w:t xml:space="preserve">The MPG is the national implementation of EU directives and regulations in Germany. This text provides the specific legal obligations for manufacturers, importers, and distributors of medical devices within German territory. For a Biomedical Engineer in Berlin, this document clarifies the local administrative procedures, notification requirements, and liability issues. It is particularly relevant for understanding the role of notified bodies operating in Germany and the specific documentation required for devices used in German hospitals. This resource bridges the gap between broad EU regulations and practical, day-to-day engineering compliance in Berlin.</w:t>
      </w:r>
    </w:p>
    <w:bookmarkEnd w:id="20"/>
    <w:bookmarkStart w:id="21" w:name="academic-and-research-institutions"/>
    <w:p>
      <w:pPr>
        <w:pStyle w:val="Heading2"/>
      </w:pPr>
      <w:r>
        <w:t xml:space="preserve">Academic and Research Institutions</w:t>
      </w:r>
    </w:p>
    <w:p>
      <w:pPr>
        <w:pStyle w:val="FirstParagraph"/>
      </w:pPr>
      <w:r>
        <w:t xml:space="preserve">Charité – Universitätsmedizin Berlin. (2022). Annual Report: Research and Innovation in Biomedical Sciences. Charité Press.</w:t>
      </w:r>
    </w:p>
    <w:p>
      <w:pPr>
        <w:pStyle w:val="BodyText"/>
      </w:pPr>
      <w:r>
        <w:t xml:space="preserve">As one of the largest university hospitals in Europe, Charité is a pivotal institution for Biomedical Engineering in Berlin. This annual report highlights ongoing research projects, clinical trials, and technological innovations developed in collaboration with engineering faculties. It provides insight into the current priorities of biomedical research in the city, such as digital health, neurotechnology, and personalized medicine. For a Biomedical Engineer, this document serves as a valuable resource for identifying potential research collaborations, understanding clinical needs, and staying updated on the cutting-edge technologies being tested in Berlin’s leading medical facilities.</w:t>
      </w:r>
    </w:p>
    <w:p>
      <w:pPr>
        <w:pStyle w:val="BodyText"/>
      </w:pPr>
      <w:r>
        <w:t xml:space="preserve">Technical University of Berlin (TU Berlin). (2023). Department of Biomedical Engineering: Curriculum and Research Focus. TU Berlin Faculty of Science.</w:t>
      </w:r>
    </w:p>
    <w:p>
      <w:pPr>
        <w:pStyle w:val="BodyText"/>
      </w:pPr>
      <w:r>
        <w:t xml:space="preserve">This document outlines the academic structure and research agenda of TU Berlin’s Biomedical Engineering department. It details the core competencies expected of graduates, including biomechanics, medical imaging, and biosignal processing. For professionals in the field, this resource offers a benchmark for the technical skills valued in the Berlin job market. Additionally, it highlights the department’s partnerships with industry leaders, providing a roadmap for potential internships, joint ventures, or continuing education opportunities for Biomedical Engineers seeking to advance their careers in the region.</w:t>
      </w:r>
    </w:p>
    <w:bookmarkEnd w:id="21"/>
    <w:bookmarkStart w:id="22" w:name="industry-and-professional-development"/>
    <w:p>
      <w:pPr>
        <w:pStyle w:val="Heading2"/>
      </w:pPr>
      <w:r>
        <w:t xml:space="preserve">Industry and Professional Development</w:t>
      </w:r>
    </w:p>
    <w:p>
      <w:pPr>
        <w:pStyle w:val="FirstParagraph"/>
      </w:pPr>
      <w:r>
        <w:t xml:space="preserve">VDI/VDE-GMA. (2021). Guideline VDI/VDE-GMA 2600: Biomedical Engineering – Requirements for the Organization of Biomedical Engineering Services in Healthcare Facilities. Association of German Engineers.</w:t>
      </w:r>
    </w:p>
    <w:p>
      <w:pPr>
        <w:pStyle w:val="BodyText"/>
      </w:pPr>
      <w:r>
        <w:t xml:space="preserve">This guideline is a critical reference for Biomedical Engineers working in clinical engineering roles within Berlin’s hospitals. It establishes standards for the organization, staffing, and technical processes of biomedical engineering departments in healthcare settings. The document covers equipment management, maintenance protocols, and safety assessments. For engineers employed by Berlin’s public or private hospitals, this guideline provides the framework for ensuring the reliability and safety of medical technology. It is an indispensable tool for professionals responsible for the lifecycle management of medical devices in a clinical environment.</w:t>
      </w:r>
    </w:p>
    <w:p>
      <w:pPr>
        <w:pStyle w:val="BodyText"/>
      </w:pPr>
      <w:r>
        <w:t xml:space="preserve">Berlin Startup Monitor. (2023). HealthTech and MedTech Sector Analysis. Berlin Partner for Business and Technology.</w:t>
      </w:r>
    </w:p>
    <w:p>
      <w:pPr>
        <w:pStyle w:val="BodyText"/>
      </w:pPr>
      <w:r>
        <w:t xml:space="preserve">This report provides a comprehensive overview of the HealthTech and MedTech startup ecosystem in Berlin. It analyzes funding trends, key players, and emerging technologies within the city. For a Biomedical Engineer considering entrepreneurship or employment in the startup sector, this document offers valuable market intelligence. It highlights Berlin’s growing reputation as a hub for digital health innovations and identifies the types of projects attracting investment. This resource is particularly useful for understanding the business side of biomedical engineering and for networking with potential employers or partners in Berlin’s vibrant tech scene.</w:t>
      </w:r>
    </w:p>
    <w:p>
      <w:pPr>
        <w:pStyle w:val="BodyText"/>
      </w:pPr>
      <w:r>
        <w:t xml:space="preserve">German Society for Biomedical Engineering (DGBE). (2022). Code of Ethics and Professional Conduct for Biomedical Engineers. DGBE Publications.</w:t>
      </w:r>
    </w:p>
    <w:p>
      <w:pPr>
        <w:pStyle w:val="BodyText"/>
      </w:pPr>
      <w:r>
        <w:t xml:space="preserve">This document outlines the ethical principles and professional standards expected of Biomedical Engineers in Germany. It addresses issues such as patient safety, data privacy, conflict of interest, and environmental responsibility. For engineers practicing in Berlin, adherence to this code is essential for maintaining professional integrity and public trust. The document also provides guidance on continuing professional development and engagement with the broader engineering community. It serves as a foundational text for understanding the ethical dimensions of biomedical engineering practice within the German context.</w:t>
      </w:r>
    </w:p>
    <w:p>
      <w:pPr>
        <w:pStyle w:val="BodyText"/>
      </w:pPr>
      <w:r>
        <w:t xml:space="preserve">Fraunhofer Institute for Biomedical Engineering IBMT. (2023). Annual Review: Innovations in Medical Technology. Fraunhofer Society.</w:t>
      </w:r>
    </w:p>
    <w:p>
      <w:pPr>
        <w:pStyle w:val="BodyText"/>
      </w:pPr>
      <w:r>
        <w:t xml:space="preserve">The Fraunhofer IBMT, with locations in Berlin and Potsdam, is a leading research institute in biomedical engineering. This annual review showcases the institute’s latest research achievements, including advancements in medical imaging, surgical technologies, and digital health solutions. For Biomedical Engineers in Berlin, this document provides insight into the state-of-the-art research being conducted locally. It highlights potential areas for collaboration and innovation, and demonstrates the strong link between academic research and industrial application in the region. This resource is valuable for staying informed about technological trends and for identifying opportunities for professional growth.</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Berlin, Germany</dc:title>
  <dc:creator/>
  <dc:language>en</dc:language>
  <cp:keywords/>
  <dcterms:created xsi:type="dcterms:W3CDTF">2026-08-08T10:03:53Z</dcterms:created>
  <dcterms:modified xsi:type="dcterms:W3CDTF">2026-08-08T10:03:53Z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