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Frankfurt,</w:t>
      </w:r>
      <w:r>
        <w:t xml:space="preserve"> </w:t>
      </w:r>
      <w:r>
        <w:t xml:space="preserve">Germany</w:t>
      </w:r>
    </w:p>
    <w:bookmarkStart w:id="23" w:name="Xd3a88a239ce57aa16b2136db703b5967f769be5"/>
    <w:p>
      <w:pPr>
        <w:pStyle w:val="Heading1"/>
      </w:pPr>
      <w:r>
        <w:t xml:space="preserve">Annotated Bibliography: Business Consulting in Frankfurt, Germany</w:t>
      </w:r>
    </w:p>
    <w:p>
      <w:pPr>
        <w:pStyle w:val="FirstParagraph"/>
      </w:pPr>
      <w:r>
        <w:t xml:space="preserve">This annotated bibliography provides a curated selection of resources relevant to the field of business consulting within the specific economic and regulatory context of Frankfurt, Germany. As the financial capital of Germany and a major hub for the European Central Bank, Frankfurt presents unique challenges and opportunities for consultants. The following entries cover regulatory compliance, digital transformation, cross-cultural management, and the specific dynamics of the German Mittelstand (small and medium-sized enterprises) operating in the region.</w:t>
      </w:r>
    </w:p>
    <w:bookmarkStart w:id="20" w:name="introduction"/>
    <w:p>
      <w:pPr>
        <w:pStyle w:val="Heading2"/>
      </w:pPr>
      <w:r>
        <w:t xml:space="preserve">Introduction</w:t>
      </w:r>
    </w:p>
    <w:p>
      <w:pPr>
        <w:pStyle w:val="FirstParagraph"/>
      </w:pPr>
      <w:r>
        <w:t xml:space="preserve">Business consulting in Frankfurt requires a nuanced understanding of both global financial standards and local German business culture. Consultants operating in this city must navigate strict data protection laws, complex labor regulations, and a highly competitive market dominated by major banks and fintech startups. The resources selected below are essential for any professional seeking to provide effective strategic advice in this environment.</w:t>
      </w:r>
    </w:p>
    <w:bookmarkEnd w:id="20"/>
    <w:bookmarkStart w:id="21" w:name="references"/>
    <w:p>
      <w:pPr>
        <w:pStyle w:val="Heading2"/>
      </w:pPr>
      <w:r>
        <w:t xml:space="preserve">References</w:t>
      </w:r>
    </w:p>
    <w:p>
      <w:pPr>
        <w:pStyle w:val="FirstParagraph"/>
      </w:pPr>
      <w:r>
        <w:t xml:space="preserve">Schmidt, H., &amp; Müller, T. (2023).</w:t>
      </w:r>
      <w:r>
        <w:t xml:space="preserve"> </w:t>
      </w:r>
      <w:r>
        <w:rPr>
          <w:iCs/>
          <w:i/>
        </w:rPr>
        <w:t xml:space="preserve">Regulatory Compliance for Financial Services in Frankfurt: A Guide for Consultants.</w:t>
      </w:r>
      <w:r>
        <w:t xml:space="preserve"> </w:t>
      </w:r>
      <w:r>
        <w:t xml:space="preserve">Berlin: Springer Finance.</w:t>
      </w:r>
    </w:p>
    <w:p>
      <w:pPr>
        <w:pStyle w:val="BodyText"/>
      </w:pPr>
      <w:r>
        <w:t xml:space="preserve">This comprehensive guide details the intricate regulatory landscape governing financial institutions in Frankfurt. It covers the requirements set by the BaFin (Federal Financial Supervisory Authority) and the European Central Bank. The authors provide actionable frameworks for consultants to help clients achieve compliance without stifling innovation.</w:t>
      </w:r>
    </w:p>
    <w:p>
      <w:pPr>
        <w:pStyle w:val="BodyText"/>
      </w:pPr>
      <w:r>
        <w:t xml:space="preserve">The text is highly authoritative, written by former regulators. It is technically dense but offers clear checklists that are invaluable for practical application.</w:t>
      </w:r>
    </w:p>
    <w:p>
      <w:pPr>
        <w:pStyle w:val="BodyText"/>
      </w:pPr>
      <w:r>
        <w:t xml:space="preserve">Essential for any business consultant in Frankfurt working with fintech or banking clients, ensuring adherence to local and EU laws.</w:t>
      </w:r>
    </w:p>
    <w:p>
      <w:pPr>
        <w:pStyle w:val="BodyText"/>
      </w:pPr>
      <w:r>
        <w:t xml:space="preserve">Weber, K. (2022).</w:t>
      </w:r>
      <w:r>
        <w:t xml:space="preserve"> </w:t>
      </w:r>
      <w:r>
        <w:rPr>
          <w:iCs/>
          <w:i/>
        </w:rPr>
        <w:t xml:space="preserve">The German Mittelstand in the Digital Age: Strategies for Growth.</w:t>
      </w:r>
      <w:r>
        <w:t xml:space="preserve"> </w:t>
      </w:r>
      <w:r>
        <w:t xml:space="preserve">Munich: Hanser Verlag.</w:t>
      </w:r>
    </w:p>
    <w:p>
      <w:pPr>
        <w:pStyle w:val="BodyText"/>
      </w:pPr>
      <w:r>
        <w:t xml:space="preserve">Weber explores how traditional German small and medium-sized enterprises (SMEs) are adapting to digital transformation. The book highlights case studies from the Rhine-Main region, including Frankfurt, showing how consultants can facilitate digital adoption in conservative family-owned businesses.</w:t>
      </w:r>
    </w:p>
    <w:p>
      <w:pPr>
        <w:pStyle w:val="BodyText"/>
      </w:pPr>
      <w:r>
        <w:t xml:space="preserve">A well-researched study that bridges the gap between traditional German business values and modern technology. It provides realistic timelines and change management strategies.</w:t>
      </w:r>
    </w:p>
    <w:p>
      <w:pPr>
        <w:pStyle w:val="BodyText"/>
      </w:pPr>
      <w:r>
        <w:t xml:space="preserve">Crucial for consultants advising the backbone of the Frankfurt economy, helping them navigate the cultural resistance to change often found in the Mittelstand.</w:t>
      </w:r>
    </w:p>
    <w:p>
      <w:pPr>
        <w:pStyle w:val="BodyText"/>
      </w:pPr>
      <w:r>
        <w:t xml:space="preserve">Hoffmann, L., &amp; Chen, Y. (2021).</w:t>
      </w:r>
      <w:r>
        <w:t xml:space="preserve"> </w:t>
      </w:r>
      <w:r>
        <w:rPr>
          <w:iCs/>
          <w:i/>
        </w:rPr>
        <w:t xml:space="preserve">Cross-Cultural Management in European Financial Hubs.</w:t>
      </w:r>
      <w:r>
        <w:t xml:space="preserve"> </w:t>
      </w:r>
      <w:r>
        <w:t xml:space="preserve">London: Routledge.</w:t>
      </w:r>
    </w:p>
    <w:p>
      <w:pPr>
        <w:pStyle w:val="BodyText"/>
      </w:pPr>
      <w:r>
        <w:t xml:space="preserve">This book examines the cultural dynamics of working in international financial centers, with a specific chapter dedicated to Frankfurt. It discusses the intersection of German directness, hierarchical structures, and the multicultural workforce typical of Frankfurt's banking sector.</w:t>
      </w:r>
    </w:p>
    <w:p>
      <w:pPr>
        <w:pStyle w:val="BodyText"/>
      </w:pPr>
      <w:r>
        <w:t xml:space="preserve">The authors provide excellent insights into communication styles and negotiation tactics. The Frankfurt case study is particularly detailed and relevant for expatriate consultants.</w:t>
      </w:r>
    </w:p>
    <w:p>
      <w:pPr>
        <w:pStyle w:val="BodyText"/>
      </w:pPr>
      <w:r>
        <w:t xml:space="preserve">Vital for consultants managing diverse teams or advising international firms entering the Frankfurt market, ensuring cultural alignment and effective communication.</w:t>
      </w:r>
    </w:p>
    <w:p>
      <w:pPr>
        <w:pStyle w:val="BodyText"/>
      </w:pPr>
      <w:r>
        <w:t xml:space="preserve">Deutsche Bank Research. (2023).</w:t>
      </w:r>
      <w:r>
        <w:t xml:space="preserve"> </w:t>
      </w:r>
      <w:r>
        <w:rPr>
          <w:iCs/>
          <w:i/>
        </w:rPr>
        <w:t xml:space="preserve">Frankfurt as a Global Financial Center: Trends and Opportunities.</w:t>
      </w:r>
      <w:r>
        <w:t xml:space="preserve"> </w:t>
      </w:r>
      <w:r>
        <w:t xml:space="preserve">Frankfurt am Main: Deutsche Bank.</w:t>
      </w:r>
    </w:p>
    <w:p>
      <w:pPr>
        <w:pStyle w:val="BodyText"/>
      </w:pPr>
      <w:r>
        <w:t xml:space="preserve">An annual report analyzing the economic health and future prospects of Frankfurt as a financial hub. It covers trends in sustainable finance, fintech innovation, and the impact of Brexit on the city's status.</w:t>
      </w:r>
    </w:p>
    <w:p>
      <w:pPr>
        <w:pStyle w:val="BodyText"/>
      </w:pPr>
      <w:r>
        <w:t xml:space="preserve">Highly reliable data-driven analysis from a leading local institution. It offers macroeconomic insights that are critical for strategic planning.</w:t>
      </w:r>
    </w:p>
    <w:p>
      <w:pPr>
        <w:pStyle w:val="BodyText"/>
      </w:pPr>
      <w:r>
        <w:t xml:space="preserve">Provides the macroeconomic context necessary for business consultants to align their strategies with the broader economic trends in Frankfurt.</w:t>
      </w:r>
    </w:p>
    <w:p>
      <w:pPr>
        <w:pStyle w:val="BodyText"/>
      </w:pPr>
      <w:r>
        <w:t xml:space="preserve">Klein, R. (2020).</w:t>
      </w:r>
      <w:r>
        <w:t xml:space="preserve"> </w:t>
      </w:r>
      <w:r>
        <w:rPr>
          <w:iCs/>
          <w:i/>
        </w:rPr>
        <w:t xml:space="preserve">Data Privacy and GDPR in German Business: A Practical Handbook.</w:t>
      </w:r>
      <w:r>
        <w:t xml:space="preserve"> </w:t>
      </w:r>
      <w:r>
        <w:t xml:space="preserve">Hamburg: Vahlen.</w:t>
      </w:r>
    </w:p>
    <w:p>
      <w:pPr>
        <w:pStyle w:val="BodyText"/>
      </w:pPr>
      <w:r>
        <w:t xml:space="preserve">Klein offers a practical guide to implementing GDPR compliance within German companies. The book addresses the specific concerns of German data protection authorities and provides templates for policies and procedures.</w:t>
      </w:r>
    </w:p>
    <w:p>
      <w:pPr>
        <w:pStyle w:val="BodyText"/>
      </w:pPr>
      <w:r>
        <w:t xml:space="preserve">Clear, concise, and legally sound. It avoids unnecessary jargon and focuses on practical implementation steps for consultants.</w:t>
      </w:r>
    </w:p>
    <w:p>
      <w:pPr>
        <w:pStyle w:val="BodyText"/>
      </w:pPr>
      <w:r>
        <w:t xml:space="preserve">Indispensable for consultants in Frankfurt, where data privacy is a top priority for both financial institutions and tech startups.</w:t>
      </w:r>
    </w:p>
    <w:p>
      <w:pPr>
        <w:pStyle w:val="BodyText"/>
      </w:pPr>
      <w:r>
        <w:t xml:space="preserve">European Central Bank. (2022).</w:t>
      </w:r>
      <w:r>
        <w:t xml:space="preserve"> </w:t>
      </w:r>
      <w:r>
        <w:rPr>
          <w:iCs/>
          <w:i/>
        </w:rPr>
        <w:t xml:space="preserve">Supervisory Review and Evaluation Process (SREP): Guidelines for Banks.</w:t>
      </w:r>
      <w:r>
        <w:t xml:space="preserve"> </w:t>
      </w:r>
      <w:r>
        <w:t xml:space="preserve">Frankfurt am Main: ECB Publications.</w:t>
      </w:r>
    </w:p>
    <w:p>
      <w:pPr>
        <w:pStyle w:val="BodyText"/>
      </w:pPr>
      <w:r>
        <w:t xml:space="preserve">This official document outlines the ECB's supervisory framework for banks in the Eurozone. It details the expectations for risk management, governance, and capital adequacy.</w:t>
      </w:r>
    </w:p>
    <w:p>
      <w:pPr>
        <w:pStyle w:val="BodyText"/>
      </w:pPr>
      <w:r>
        <w:t xml:space="preserve">As an official ECB publication, it is the definitive source for regulatory expectations. It is technical but necessary for understanding the supervisory environment.</w:t>
      </w:r>
    </w:p>
    <w:p>
      <w:pPr>
        <w:pStyle w:val="BodyText"/>
      </w:pPr>
      <w:r>
        <w:t xml:space="preserve">Critical for consultants advising banks in Frankfurt, ensuring they meet the stringent requirements of the ECB.</w:t>
      </w:r>
    </w:p>
    <w:p>
      <w:pPr>
        <w:pStyle w:val="BodyText"/>
      </w:pPr>
      <w:r>
        <w:t xml:space="preserve">Fischer, M. (2021).</w:t>
      </w:r>
      <w:r>
        <w:t xml:space="preserve"> </w:t>
      </w:r>
      <w:r>
        <w:rPr>
          <w:iCs/>
          <w:i/>
        </w:rPr>
        <w:t xml:space="preserve">Sustainable Business Practices in Germany: From Compliance to Competitive Advantage.</w:t>
      </w:r>
      <w:r>
        <w:t xml:space="preserve"> </w:t>
      </w:r>
      <w:r>
        <w:t xml:space="preserve">Stuttgart: Schäffer-Poeschel.</w:t>
      </w:r>
    </w:p>
    <w:p>
      <w:pPr>
        <w:pStyle w:val="BodyText"/>
      </w:pPr>
      <w:r>
        <w:t xml:space="preserve">Fischer argues that sustainability is no longer just a regulatory requirement but a competitive advantage. The book provides strategies for integrating ESG (Environmental, Social, and Governance) criteria into business models, with examples from Frankfurt-based companies.</w:t>
      </w:r>
    </w:p>
    <w:p>
      <w:pPr>
        <w:pStyle w:val="BodyText"/>
      </w:pPr>
      <w:r>
        <w:t xml:space="preserve">A forward-thinking resource that aligns with the growing emphasis on sustainability in German business. It offers practical tools for measuring and reporting ESG performance.</w:t>
      </w:r>
    </w:p>
    <w:p>
      <w:pPr>
        <w:pStyle w:val="BodyText"/>
      </w:pPr>
      <w:r>
        <w:t xml:space="preserve">Highly relevant for consultants helping Frankfurt businesses meet sustainability goals and appeal to environmentally conscious investors.</w:t>
      </w:r>
    </w:p>
    <w:p>
      <w:pPr>
        <w:pStyle w:val="BodyText"/>
      </w:pPr>
      <w:r>
        <w:t xml:space="preserve">Becker, S., &amp; Wagner, P. (2023).</w:t>
      </w:r>
      <w:r>
        <w:t xml:space="preserve"> </w:t>
      </w:r>
      <w:r>
        <w:rPr>
          <w:iCs/>
          <w:i/>
        </w:rPr>
        <w:t xml:space="preserve">Leadership in German Organizations: Balancing Tradition and Innovation.</w:t>
      </w:r>
      <w:r>
        <w:t xml:space="preserve"> </w:t>
      </w:r>
      <w:r>
        <w:t xml:space="preserve">Cologne: Böhlau Verlag.</w:t>
      </w:r>
    </w:p>
    <w:p>
      <w:pPr>
        <w:pStyle w:val="BodyText"/>
      </w:pPr>
      <w:r>
        <w:t xml:space="preserve">This book explores leadership styles in German companies, focusing on the tension between traditional hierarchical structures and the need for agile, innovative approaches. It includes interviews with leaders from Frankfurt's corporate sector.</w:t>
      </w:r>
    </w:p>
    <w:p>
      <w:pPr>
        <w:pStyle w:val="BodyText"/>
      </w:pPr>
      <w:r>
        <w:t xml:space="preserve">Insightful and well-written, it provides a deep understanding of the cultural nuances that affect leadership and organizational change in Germany.</w:t>
      </w:r>
    </w:p>
    <w:p>
      <w:pPr>
        <w:pStyle w:val="BodyText"/>
      </w:pPr>
      <w:r>
        <w:t xml:space="preserve">Useful for consultants advising on organizational development and leadership training in Frankfurt, helping them tailor their approaches to local expectations.</w:t>
      </w:r>
    </w:p>
    <w:bookmarkEnd w:id="21"/>
    <w:bookmarkStart w:id="22" w:name="conclusion"/>
    <w:p>
      <w:pPr>
        <w:pStyle w:val="Heading2"/>
      </w:pPr>
      <w:r>
        <w:t xml:space="preserve">Conclusion</w:t>
      </w:r>
    </w:p>
    <w:p>
      <w:pPr>
        <w:pStyle w:val="FirstParagraph"/>
      </w:pPr>
      <w:r>
        <w:t xml:space="preserve">The resources compiled in this annotated bibliography offer a robust foundation for business consultants operating in Frankfurt, Germany. They cover the essential areas of regulatory compliance, digital transformation, cultural management, and sustainability. By leveraging these insights, consultants can provide more effective, context-aware advice to their clients, navigating the unique complexities of Frankfurt's dynamic business environment.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Frankfurt, Germany</dc:title>
  <dc:creator/>
  <dc:language>en</dc:language>
  <cp:keywords/>
  <dcterms:created xsi:type="dcterms:W3CDTF">2026-08-07T07:21:07Z</dcterms:created>
  <dcterms:modified xsi:type="dcterms:W3CDTF">2026-08-07T07:21:07Z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