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4ee7dc3f76902a21fdcf940aa0d1565c297e8e3"/>
    <w:p>
      <w:pPr>
        <w:pStyle w:val="Heading1"/>
      </w:pPr>
      <w:r>
        <w:t xml:space="preserve">Annotated Bibliography: The Role of the Business Consultant in New Zealand Auckland</w:t>
      </w:r>
    </w:p>
    <w:p>
      <w:pPr>
        <w:pStyle w:val="FirstParagraph"/>
      </w:pPr>
      <w:r>
        <w:t xml:space="preserve">This annotated bibliography compiles key resources regarding the practice, regulation, and strategic impact of business consulting within the specific economic context of Auckland, New Zealand. It addresses the unique challenges faced by consultants operating in New Zealand's largest urban center, including regulatory compliance, cultural integration with Māori business practices, and the specific demands of the local market.</w:t>
      </w:r>
    </w:p>
    <w:bookmarkStart w:id="20" w:name="introduction"/>
    <w:p>
      <w:pPr>
        <w:pStyle w:val="Heading2"/>
      </w:pPr>
      <w:r>
        <w:t xml:space="preserve">Introduction</w:t>
      </w:r>
    </w:p>
    <w:p>
      <w:pPr>
        <w:pStyle w:val="FirstParagraph"/>
      </w:pPr>
      <w:r>
        <w:t xml:space="preserve">Auckland serves as the economic engine of New Zealand, hosting a diverse array of industries ranging from finance and technology to logistics and tourism. For a business consultant operating in this region, success requires more than generic management theory; it demands a nuanced understanding of the local regulatory environment, the Treaty of Waitangi implications for business, and the specific competitive dynamics of the Auckland market. The following sources provide a comprehensive overview of these critical areas.</w:t>
      </w:r>
    </w:p>
    <w:bookmarkEnd w:id="20"/>
    <w:bookmarkStart w:id="21" w:name="bibliography"/>
    <w:p>
      <w:pPr>
        <w:pStyle w:val="Heading2"/>
      </w:pPr>
      <w:r>
        <w:t xml:space="preserve">Bibliography</w:t>
      </w:r>
    </w:p>
    <w:p>
      <w:pPr>
        <w:pStyle w:val="FirstParagraph"/>
      </w:pPr>
      <w:r>
        <w:t xml:space="preserve">Auckland Council. (2023).</w:t>
      </w:r>
      <w:r>
        <w:t xml:space="preserve"> </w:t>
      </w:r>
      <w:r>
        <w:rPr>
          <w:iCs/>
          <w:i/>
        </w:rPr>
        <w:t xml:space="preserve">Auckland Plan 2050: Economic Growth and Business Environment</w:t>
      </w:r>
      <w:r>
        <w:t xml:space="preserve">. Auckland Council.</w:t>
      </w:r>
    </w:p>
    <w:p>
      <w:pPr>
        <w:pStyle w:val="BodyText"/>
      </w:pPr>
      <w:r>
        <w:t xml:space="preserve">This official document outlines the long-term strategic vision for Auckland's economic development. For a business consultant, this resource is indispensable for understanding the regulatory landscape, zoning laws, and infrastructure projects that will shape client opportunities over the next three decades. It provides critical data on population growth and industry clusters, allowing consultants to advise clients on location strategy and workforce planning within the Auckland region.</w:t>
      </w:r>
    </w:p>
    <w:p>
      <w:pPr>
        <w:pStyle w:val="BodyText"/>
      </w:pPr>
      <w:r>
        <w:t xml:space="preserve">Business New Zealand. (2022).</w:t>
      </w:r>
      <w:r>
        <w:t xml:space="preserve"> </w:t>
      </w:r>
      <w:r>
        <w:rPr>
          <w:iCs/>
          <w:i/>
        </w:rPr>
        <w:t xml:space="preserve">State of Business in New Zealand: Auckland Regional Report</w:t>
      </w:r>
      <w:r>
        <w:t xml:space="preserve">. Business New Zealand.</w:t>
      </w:r>
    </w:p>
    <w:p>
      <w:pPr>
        <w:pStyle w:val="BodyText"/>
      </w:pPr>
      <w:r>
        <w:t xml:space="preserve">This report offers a detailed analysis of the current economic climate in Auckland, focusing on productivity, innovation, and regulatory burdens. It is a vital resource for consultants advising on operational efficiency and market entry. The report highlights specific pain points for Auckland businesses, such as skills shortages and housing costs affecting labor mobility, providing consultants with evidence-based arguments for strategic interventions.</w:t>
      </w:r>
    </w:p>
    <w:p>
      <w:pPr>
        <w:pStyle w:val="BodyText"/>
      </w:pPr>
      <w:r>
        <w:t xml:space="preserve">Te Puni Kōkiri. (2021).</w:t>
      </w:r>
      <w:r>
        <w:t xml:space="preserve"> </w:t>
      </w:r>
      <w:r>
        <w:rPr>
          <w:iCs/>
          <w:i/>
        </w:rPr>
        <w:t xml:space="preserve">Māori Business and Economic Development: A Guide for Consultants</w:t>
      </w:r>
      <w:r>
        <w:t xml:space="preserve">. Ministry of Māori Development.</w:t>
      </w:r>
    </w:p>
    <w:p>
      <w:pPr>
        <w:pStyle w:val="BodyText"/>
      </w:pPr>
      <w:r>
        <w:t xml:space="preserve">Understanding the role of Māori in the New Zealand economy is essential for any consultant working in Auckland. This guide provides insights into Māori business structures, governance, and the cultural considerations necessary for successful engagement. It emphasizes the importance of Te Tiriti o Waitangi (The Treaty of Waitangi) in business relationships, offering practical advice on how consultants can facilitate culturally responsive strategies that respect indigenous rights and partnerships.</w:t>
      </w:r>
    </w:p>
    <w:p>
      <w:pPr>
        <w:pStyle w:val="BodyText"/>
      </w:pPr>
      <w:r>
        <w:t xml:space="preserve">Institute of Directors New Zealand. (2023).</w:t>
      </w:r>
      <w:r>
        <w:t xml:space="preserve"> </w:t>
      </w:r>
      <w:r>
        <w:rPr>
          <w:iCs/>
          <w:i/>
        </w:rPr>
        <w:t xml:space="preserve">Corporate Governance in New Zealand: Best Practices for Auckland Boards</w:t>
      </w:r>
      <w:r>
        <w:t xml:space="preserve">. IoD NZ.</w:t>
      </w:r>
    </w:p>
    <w:p>
      <w:pPr>
        <w:pStyle w:val="BodyText"/>
      </w:pPr>
      <w:r>
        <w:t xml:space="preserve">This publication outlines the standards and expectations for corporate governance in New Zealand, with a focus on the complexities faced by large Auckland-based enterprises. It is a key reference for consultants advising on board composition, risk management, and ethical leadership. The document aligns with the Companies Act 1993 and provides practical frameworks for ensuring compliance and enhancing shareholder value in a transparent manner.</w:t>
      </w:r>
    </w:p>
    <w:p>
      <w:pPr>
        <w:pStyle w:val="BodyText"/>
      </w:pPr>
      <w:r>
        <w:t xml:space="preserve">Statistics New Zealand. (2023).</w:t>
      </w:r>
      <w:r>
        <w:t xml:space="preserve"> </w:t>
      </w:r>
      <w:r>
        <w:rPr>
          <w:iCs/>
          <w:i/>
        </w:rPr>
        <w:t xml:space="preserve">Auckland Demographic and Economic Trends</w:t>
      </w:r>
      <w:r>
        <w:t xml:space="preserve">. Stats NZ.</w:t>
      </w:r>
    </w:p>
    <w:p>
      <w:pPr>
        <w:pStyle w:val="BodyText"/>
      </w:pPr>
      <w:r>
        <w:t xml:space="preserve">This statistical report provides up-to-date data on Auckland's population, employment rates, and industry performance. For a business consultant, this data is crucial for market analysis, forecasting, and strategic planning. It enables consultants to identify emerging trends, assess market saturation, and tailor their recommendations to the specific demographic realities of Auckland's diverse communities.</w:t>
      </w:r>
    </w:p>
    <w:p>
      <w:pPr>
        <w:pStyle w:val="BodyText"/>
      </w:pPr>
      <w:r>
        <w:t xml:space="preserve">New Zealand Institute of Management. (2022).</w:t>
      </w:r>
      <w:r>
        <w:t xml:space="preserve"> </w:t>
      </w:r>
      <w:r>
        <w:rPr>
          <w:iCs/>
          <w:i/>
        </w:rPr>
        <w:t xml:space="preserve">Leadership and Management in the New Zealand Context</w:t>
      </w:r>
      <w:r>
        <w:t xml:space="preserve">. NZIM.</w:t>
      </w:r>
    </w:p>
    <w:p>
      <w:pPr>
        <w:pStyle w:val="BodyText"/>
      </w:pPr>
      <w:r>
        <w:t xml:space="preserve">This resource explores the unique leadership styles and management practices that are effective in New Zealand. It addresses the importance of collaboration, inclusivity, and adaptability in the Auckland business environment. Consultants can use this guide to develop training programs and leadership development strategies that resonate with local managers and employees, fostering a positive organizational culture.</w:t>
      </w:r>
    </w:p>
    <w:p>
      <w:pPr>
        <w:pStyle w:val="BodyText"/>
      </w:pPr>
      <w:r>
        <w:t xml:space="preserve">Commerce Commission. (2023).</w:t>
      </w:r>
      <w:r>
        <w:t xml:space="preserve"> </w:t>
      </w:r>
      <w:r>
        <w:rPr>
          <w:iCs/>
          <w:i/>
        </w:rPr>
        <w:t xml:space="preserve">Competition and Consumer Law in New Zealand: A Guide for Businesses</w:t>
      </w:r>
      <w:r>
        <w:t xml:space="preserve">. Commerce Commission.</w:t>
      </w:r>
    </w:p>
    <w:p>
      <w:pPr>
        <w:pStyle w:val="BodyText"/>
      </w:pPr>
      <w:r>
        <w:t xml:space="preserve">This guide explains the legal framework governing competition and consumer protection in New Zealand. It is essential for consultants advising on market entry, pricing strategies, and mergers and acquisitions. Understanding these regulations helps consultants ensure that their clients operate within the law and avoid costly penalties, particularly in Auckland's highly competitive sectors.</w:t>
      </w:r>
    </w:p>
    <w:p>
      <w:pPr>
        <w:pStyle w:val="BodyText"/>
      </w:pPr>
      <w:r>
        <w:t xml:space="preserve">University of Auckland Business School. (2023).</w:t>
      </w:r>
      <w:r>
        <w:t xml:space="preserve"> </w:t>
      </w:r>
      <w:r>
        <w:rPr>
          <w:iCs/>
          <w:i/>
        </w:rPr>
        <w:t xml:space="preserve">Research Report: Innovation and Entrepreneurship in Auckland</w:t>
      </w:r>
      <w:r>
        <w:t xml:space="preserve">. UoA Business School.</w:t>
      </w:r>
    </w:p>
    <w:p>
      <w:pPr>
        <w:pStyle w:val="BodyText"/>
      </w:pPr>
      <w:r>
        <w:t xml:space="preserve">This academic report examines the drivers of innovation and entrepreneurship in Auckland, highlighting the role of universities, incubators, and government support. It provides valuable insights for consultants working with startups and tech companies, offering strategies for fostering innovation, accessing funding, and building collaborative networks within the Auckland ecosystem.</w:t>
      </w:r>
    </w:p>
    <w:bookmarkEnd w:id="21"/>
    <w:bookmarkStart w:id="22" w:name="conclusion"/>
    <w:p>
      <w:pPr>
        <w:pStyle w:val="Heading2"/>
      </w:pPr>
      <w:r>
        <w:t xml:space="preserve">Conclusion</w:t>
      </w:r>
    </w:p>
    <w:p>
      <w:pPr>
        <w:pStyle w:val="FirstParagraph"/>
      </w:pPr>
      <w:r>
        <w:t xml:space="preserve">The resources compiled in this annotated bibliography provide a robust foundation for business consultants operating in Auckland, New Zealand. By integrating insights from government reports, industry associations, and academic research, consultants can develop strategies that are not only theoretically sound but also practically applicable to the local context. Success in this market requires a deep understanding of regulatory requirements, cultural nuances, and economic trends, all of which are addressed in the selected sources.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Auckland, New Zealand</dc:title>
  <dc:creator/>
  <dc:language>en</dc:language>
  <cp:keywords/>
  <dcterms:created xsi:type="dcterms:W3CDTF">2026-08-07T12:35:11Z</dcterms:created>
  <dcterms:modified xsi:type="dcterms:W3CDTF">2026-08-07T12:35:11Z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