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0" w:name="X11df4de83ea23dc888cce7fcfe2eed384a3608c"/>
    <w:p>
      <w:pPr>
        <w:pStyle w:val="Heading1"/>
      </w:pPr>
      <w:r>
        <w:t xml:space="preserve">Annotated Bibliography: Civil Engineering in Moscow, Russia</w:t>
      </w:r>
    </w:p>
    <w:p>
      <w:pPr>
        <w:pStyle w:val="FirstParagraph"/>
      </w:pPr>
      <w:r>
        <w:t xml:space="preserve">A curated collection of resources regarding infrastructure, construction standards, and urban development for Civil Engineers operating in the Moscow region.</w:t>
      </w:r>
    </w:p>
    <w:bookmarkEnd w:id="20"/>
    <w:bookmarkStart w:id="21" w:name="introduction"/>
    <w:p>
      <w:pPr>
        <w:pStyle w:val="Heading2"/>
      </w:pPr>
      <w:r>
        <w:t xml:space="preserve">Introduction</w:t>
      </w:r>
    </w:p>
    <w:p>
      <w:pPr>
        <w:pStyle w:val="FirstParagraph"/>
      </w:pPr>
      <w:r>
        <w:t xml:space="preserve">This annotated bibliography serves as a foundational resource for Civil Engineers planning to work on projects in Moscow, Russia. The capital city represents a unique engineering environment characterized by extreme climatic conditions, complex geological soil profiles, and a rigorous regulatory framework. The following entries cover critical topics including frost-resistant concrete, seismic considerations, Russian construction norms (SNiP/GOST), and the rapid urbanization trends defining modern Moscow.</w:t>
      </w:r>
    </w:p>
    <w:bookmarkEnd w:id="21"/>
    <w:bookmarkStart w:id="24" w:name="regulatory-framework-and-standards"/>
    <w:p>
      <w:pPr>
        <w:pStyle w:val="Heading2"/>
      </w:pPr>
      <w:r>
        <w:t xml:space="preserve">Regulatory Framework and Standards</w:t>
      </w:r>
    </w:p>
    <w:bookmarkStart w:id="22" w:name="Xab385b3c87ce14a6676da04af727b0bbf9fe223"/>
    <w:p>
      <w:pPr>
        <w:pStyle w:val="Heading3"/>
      </w:pPr>
      <w:r>
        <w:t xml:space="preserve">1. The Evolution of Russian Construction Norms</w:t>
      </w:r>
    </w:p>
    <w:p>
      <w:pPr>
        <w:pStyle w:val="FirstParagraph"/>
      </w:pPr>
      <w:r>
        <w:t xml:space="preserve">Kuznetsov, A., &amp; Petrov, V. (2021).</w:t>
      </w:r>
      <w:r>
        <w:t xml:space="preserve"> </w:t>
      </w:r>
      <w:r>
        <w:rPr>
          <w:iCs/>
          <w:i/>
        </w:rPr>
        <w:t xml:space="preserve">Transition from SNiP to SP: Modernizing Civil Engineering Standards in the Russian Federation</w:t>
      </w:r>
      <w:r>
        <w:t xml:space="preserve">. Moscow: Publishing House of the Russian Academy of Architecture and Construction Sciences.</w:t>
      </w:r>
    </w:p>
    <w:p>
      <w:pPr>
        <w:pStyle w:val="BodyText"/>
      </w:pPr>
      <w:r>
        <w:t xml:space="preserve">This text is essential for any Civil Engineer entering the Moscow market. It details the ongoing transition from the Soviet-era "Construction Norms and Rules" (SNiP) to the modern "Code of Rules" (SP). The authors provide a comparative analysis of structural load requirements specific to the Moscow region. For engineers, this resource clarifies how to navigate the dual system where legacy SNiP documents often still hold legal weight alongside new SP standards. It is particularly useful for understanding compliance in high-rise residential developments, which are prevalent in Moscow's expanding districts.</w:t>
      </w:r>
    </w:p>
    <w:bookmarkEnd w:id="22"/>
    <w:bookmarkStart w:id="23" w:name="X9885e058b87ce5ba44b5b9caf19b4fd5e3cc2ff"/>
    <w:p>
      <w:pPr>
        <w:pStyle w:val="Heading3"/>
      </w:pPr>
      <w:r>
        <w:t xml:space="preserve">2. GOST Standards for Concrete in Cold Climates</w:t>
      </w:r>
    </w:p>
    <w:p>
      <w:pPr>
        <w:pStyle w:val="FirstParagraph"/>
      </w:pPr>
      <w:r>
        <w:t xml:space="preserve">GOST 26633-2012. (2012).</w:t>
      </w:r>
      <w:r>
        <w:t xml:space="preserve"> </w:t>
      </w:r>
      <w:r>
        <w:rPr>
          <w:iCs/>
          <w:i/>
        </w:rPr>
        <w:t xml:space="preserve">Concrete of Heavy and Normal Density. Technical Conditions</w:t>
      </w:r>
      <w:r>
        <w:t xml:space="preserve">. Moscow: Standards Inform.</w:t>
      </w:r>
    </w:p>
    <w:p>
      <w:pPr>
        <w:pStyle w:val="BodyText"/>
      </w:pPr>
      <w:r>
        <w:t xml:space="preserve">As a primary technical standard, this document is non-negotiable for structural engineers in Russia. It outlines the specific requirements for concrete durability, strength classes, and frost resistance (marked as F) required for Moscow's harsh winters. The annotation highlights the necessity of using specific admixtures to prevent freeze-thaw damage, a common failure mode in the region. Understanding this GOST is critical for material specification and quality control on any Moscow construction site.</w:t>
      </w:r>
    </w:p>
    <w:bookmarkEnd w:id="23"/>
    <w:bookmarkEnd w:id="24"/>
    <w:bookmarkStart w:id="26" w:name="X687d9fb93dde38863353e847c9548fbafcbf321"/>
    <w:p>
      <w:pPr>
        <w:pStyle w:val="Heading2"/>
      </w:pPr>
      <w:r>
        <w:t xml:space="preserve">Geotechnical Engineering and Soil Mechanics</w:t>
      </w:r>
    </w:p>
    <w:bookmarkStart w:id="25" w:name="X7f276d603f0265ae18cf320b25548639ac992c2"/>
    <w:p>
      <w:pPr>
        <w:pStyle w:val="Heading3"/>
      </w:pPr>
      <w:r>
        <w:t xml:space="preserve">3. Foundation Engineering on Moscow Loess Soils</w:t>
      </w:r>
    </w:p>
    <w:p>
      <w:pPr>
        <w:pStyle w:val="FirstParagraph"/>
      </w:pPr>
      <w:r>
        <w:t xml:space="preserve">Ivanova, E. (2019).</w:t>
      </w:r>
      <w:r>
        <w:t xml:space="preserve"> </w:t>
      </w:r>
      <w:r>
        <w:rPr>
          <w:iCs/>
          <w:i/>
        </w:rPr>
        <w:t xml:space="preserve">Geotechnical Challenges of Deep Foundations in the Moscow Basin</w:t>
      </w:r>
      <w:r>
        <w:t xml:space="preserve">. Journal of Russian Geotechnical Engineering, 14(2), 45-62.</w:t>
      </w:r>
    </w:p>
    <w:p>
      <w:pPr>
        <w:pStyle w:val="BodyText"/>
      </w:pPr>
      <w:r>
        <w:t xml:space="preserve">This journal article addresses the specific geological challenges of the Moscow region, particularly the presence of collapsible loess soils and high groundwater tables. Ivanova analyzes case studies of recent skyscrapers in the Moscow City business center, detailing the use of bored piles and caissons. For a Civil Engineer, this provides practical insights into foundation design strategies that mitigate settlement risks. It is a vital reference for geotechnical assessments prior to breaking ground in the capital.</w:t>
      </w:r>
    </w:p>
    <w:bookmarkEnd w:id="25"/>
    <w:bookmarkEnd w:id="26"/>
    <w:bookmarkStart w:id="29" w:name="urban-infrastructure-and-transportation"/>
    <w:p>
      <w:pPr>
        <w:pStyle w:val="Heading2"/>
      </w:pPr>
      <w:r>
        <w:t xml:space="preserve">Urban Infrastructure and Transportation</w:t>
      </w:r>
    </w:p>
    <w:bookmarkStart w:id="27" w:name="X78caf3b4d8d0540464df89839a3374797bd5f71"/>
    <w:p>
      <w:pPr>
        <w:pStyle w:val="Heading3"/>
      </w:pPr>
      <w:r>
        <w:t xml:space="preserve">4. The Moscow Metro Expansion: Tunneling Technologies</w:t>
      </w:r>
    </w:p>
    <w:p>
      <w:pPr>
        <w:pStyle w:val="FirstParagraph"/>
      </w:pPr>
      <w:r>
        <w:t xml:space="preserve">Sokolov, D., &amp; Volkov, M. (2022).</w:t>
      </w:r>
      <w:r>
        <w:t xml:space="preserve"> </w:t>
      </w:r>
      <w:r>
        <w:rPr>
          <w:iCs/>
          <w:i/>
        </w:rPr>
        <w:t xml:space="preserve">Urban Tunneling in Dense Environments: Lessons from the Moscow Metro Modernization</w:t>
      </w:r>
      <w:r>
        <w:t xml:space="preserve">. International Journal of Underground Space, 8(1), 112-130.</w:t>
      </w:r>
    </w:p>
    <w:p>
      <w:pPr>
        <w:pStyle w:val="BodyText"/>
      </w:pPr>
      <w:r>
        <w:t xml:space="preserve">Moscow possesses one of the busiest and most extensive metro systems in the world. This paper examines the civil engineering techniques used to expand the network without disrupting existing infrastructure or causing surface subsidence. It focuses on the use of Tunnel Boring Machines (TBMs) adapted for mixed-face ground conditions. This resource is highly relevant for engineers specializing in transportation infrastructure, offering data on vibration control and ground freezing methods used in the city center.</w:t>
      </w:r>
    </w:p>
    <w:bookmarkEnd w:id="27"/>
    <w:bookmarkStart w:id="28" w:name="bridge-engineering-over-the-moskva-river"/>
    <w:p>
      <w:pPr>
        <w:pStyle w:val="Heading3"/>
      </w:pPr>
      <w:r>
        <w:t xml:space="preserve">5. Bridge Engineering over the Moskva River</w:t>
      </w:r>
    </w:p>
    <w:p>
      <w:pPr>
        <w:pStyle w:val="FirstParagraph"/>
      </w:pPr>
      <w:r>
        <w:t xml:space="preserve">Fedorov, A. (2020).</w:t>
      </w:r>
      <w:r>
        <w:t xml:space="preserve"> </w:t>
      </w:r>
      <w:r>
        <w:rPr>
          <w:iCs/>
          <w:i/>
        </w:rPr>
        <w:t xml:space="preserve">Structural Integrity of Cable-Stayed Bridges in Moscow: The Case of the Krymsky Bridge</w:t>
      </w:r>
      <w:r>
        <w:t xml:space="preserve">. Russian Journal of Bridge and Tunnel Construction, 5(3), 22-35.</w:t>
      </w:r>
    </w:p>
    <w:p>
      <w:pPr>
        <w:pStyle w:val="BodyText"/>
      </w:pPr>
      <w:r>
        <w:t xml:space="preserve">This study focuses on the reconstruction of major river crossings in Moscow. It analyzes the structural dynamics of cable-stayed bridges under heavy traffic loads and ice-jam pressures typical of the Moskva River in winter. The author discusses the corrosion protection of steel elements in a humid, de-icing-salt-heavy environment. This is a key reference for structural engineers involved in bridge maintenance or new river crossing projects in the region.</w:t>
      </w:r>
    </w:p>
    <w:bookmarkEnd w:id="28"/>
    <w:bookmarkEnd w:id="29"/>
    <w:bookmarkStart w:id="33" w:name="sustainability-and-modern-urban-planning"/>
    <w:p>
      <w:pPr>
        <w:pStyle w:val="Heading2"/>
      </w:pPr>
      <w:r>
        <w:t xml:space="preserve">Sustainability and Modern Urban Planning</w:t>
      </w:r>
    </w:p>
    <w:bookmarkStart w:id="30" w:name="green-building-standards-in-moscow"/>
    <w:p>
      <w:pPr>
        <w:pStyle w:val="Heading3"/>
      </w:pPr>
      <w:r>
        <w:t xml:space="preserve">6. Green Building Standards in Moscow</w:t>
      </w:r>
    </w:p>
    <w:p>
      <w:pPr>
        <w:pStyle w:val="FirstParagraph"/>
      </w:pPr>
      <w:r>
        <w:t xml:space="preserve">Smirnova, L. (2023).</w:t>
      </w:r>
      <w:r>
        <w:t xml:space="preserve"> </w:t>
      </w:r>
      <w:r>
        <w:rPr>
          <w:iCs/>
          <w:i/>
        </w:rPr>
        <w:t xml:space="preserve">Implementing LEED and BREEAM in Russian High-Rise Construction</w:t>
      </w:r>
      <w:r>
        <w:t xml:space="preserve">. Moscow: Urban Development Press.</w:t>
      </w:r>
    </w:p>
    <w:p>
      <w:pPr>
        <w:pStyle w:val="BodyText"/>
      </w:pPr>
      <w:r>
        <w:t xml:space="preserve">As Moscow modernizes, there is a growing demand for sustainable construction. This book explores how international green building standards are being adapted to local Russian regulations. It covers energy efficiency requirements for building envelopes in cold climates and water management systems. For Civil Engineers, this text bridges the gap between traditional Russian construction practices and modern environmental engineering expectations, which are increasingly mandated for new commercial projects in the capital.</w:t>
      </w:r>
    </w:p>
    <w:bookmarkEnd w:id="30"/>
    <w:bookmarkStart w:id="31" w:name="Xebbdaed3a69646098f584894d3020890c6c758b"/>
    <w:p>
      <w:pPr>
        <w:pStyle w:val="Heading3"/>
      </w:pPr>
      <w:r>
        <w:t xml:space="preserve">7. Smart City Infrastructure: Moscow's Digital Twin</w:t>
      </w:r>
    </w:p>
    <w:p>
      <w:pPr>
        <w:pStyle w:val="FirstParagraph"/>
      </w:pPr>
      <w:r>
        <w:t xml:space="preserve">Orlov, P. (2021).</w:t>
      </w:r>
      <w:r>
        <w:t xml:space="preserve"> </w:t>
      </w:r>
      <w:r>
        <w:rPr>
          <w:iCs/>
          <w:i/>
        </w:rPr>
        <w:t xml:space="preserve">Integrating IoT Sensors into Civil Infrastructure: The Moscow Smart City Initiative</w:t>
      </w:r>
      <w:r>
        <w:t xml:space="preserve">. Journal of Urban Technology, 28(4), 88-105.</w:t>
      </w:r>
    </w:p>
    <w:p>
      <w:pPr>
        <w:pStyle w:val="BodyText"/>
      </w:pPr>
      <w:r>
        <w:t xml:space="preserve">This article discusses the integration of digital technologies into physical infrastructure. It details how Moscow is using sensors to monitor the health of bridges, roads, and buildings in real-time. For the modern Civil Engineer, understanding these "Smart City" requirements is becoming as important as structural calculation. The text provides examples of how data from these systems informs maintenance schedules and structural safety assessments in the city.</w:t>
      </w:r>
    </w:p>
    <w:bookmarkEnd w:id="31"/>
    <w:bookmarkStart w:id="32" w:name="X712bddeb4e25f1c9c754b95644222c04978b3ae"/>
    <w:p>
      <w:pPr>
        <w:pStyle w:val="Heading3"/>
      </w:pPr>
      <w:r>
        <w:t xml:space="preserve">8. Seismic Considerations in Non-Seismic Zones</w:t>
      </w:r>
    </w:p>
    <w:p>
      <w:pPr>
        <w:pStyle w:val="FirstParagraph"/>
      </w:pPr>
      <w:r>
        <w:t xml:space="preserve">Zaitsev, I. (2018).</w:t>
      </w:r>
      <w:r>
        <w:t xml:space="preserve"> </w:t>
      </w:r>
      <w:r>
        <w:rPr>
          <w:iCs/>
          <w:i/>
        </w:rPr>
        <w:t xml:space="preserve">Micro-Seismicity and Structural Resilience in Central Russia</w:t>
      </w:r>
      <w:r>
        <w:t xml:space="preserve">. Seismology and Earthquake Engineering in Eurasia, 6(1), 5-18.</w:t>
      </w:r>
    </w:p>
    <w:p>
      <w:pPr>
        <w:pStyle w:val="BodyText"/>
      </w:pPr>
      <w:r>
        <w:t xml:space="preserve">While Moscow is not in a high-risk seismic zone, recent studies have highlighted micro-seismic activity and the potential for induced seismicity. This paper argues for the inclusion of basic seismic resilience in the design of super-tall structures in Moscow. It provides updated seismic zoning maps and recommendations for damping systems. This is a forward-looking resource for engineers designing landmark structures that must ensure safety against low-probability, high-impact events.</w:t>
      </w:r>
    </w:p>
    <w:bookmarkEnd w:id="32"/>
    <w:bookmarkEnd w:id="33"/>
    <w:p>
      <w:pPr>
        <w:pStyle w:val="BodyText"/>
      </w:pPr>
      <w:r>
        <w:t xml:space="preserve">© 2023 Annotated Bibliography for Civil Engineering in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Moscow, Russia</dc:title>
  <dc:creator/>
  <dc:language>en</dc:language>
  <cp:keywords/>
  <dcterms:created xsi:type="dcterms:W3CDTF">2026-08-07T03:02:26Z</dcterms:created>
  <dcterms:modified xsi:type="dcterms:W3CDTF">2026-08-07T03:02:26Z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