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Melbourne,</w:t>
      </w:r>
      <w:r>
        <w:t xml:space="preserve"> </w:t>
      </w:r>
      <w:r>
        <w:t xml:space="preserve">Australia</w:t>
      </w:r>
    </w:p>
    <w:bookmarkStart w:id="20" w:name="X68273be43c44cc1479ce07212836493c3cf87be"/>
    <w:p>
      <w:pPr>
        <w:pStyle w:val="Heading1"/>
      </w:pPr>
      <w:r>
        <w:t xml:space="preserve">Annotated Bibliography: The Role of the Curriculum Developer in Melbourne, Australia</w:t>
      </w:r>
    </w:p>
    <w:p>
      <w:pPr>
        <w:pStyle w:val="FirstParagraph"/>
      </w:pPr>
      <w:r>
        <w:t xml:space="preserve">A comprehensive review of literature regarding educational design, the Victorian Curriculum, and professional standards for curriculum developers operating within the Melbourne metropolitan context.</w:t>
      </w:r>
    </w:p>
    <w:bookmarkEnd w:id="20"/>
    <w:p>
      <w:pPr>
        <w:pStyle w:val="BodyText"/>
      </w:pPr>
      <w:r>
        <w:t xml:space="preserve">The role of a Curriculum Developer in Melbourne, Australia, is multifaceted, requiring a deep understanding of the Victorian Curriculum and Assessment Authority (VCAA) frameworks, pedagogical theory, and the specific cultural and demographic needs of the region. This annotated bibliography compiles essential resources that define the professional landscape for curriculum developers in this jurisdiction. The selected texts cover national standards, local implementation strategies, and the integration of technology and inclusivity in educational design.</w:t>
      </w:r>
    </w:p>
    <w:bookmarkStart w:id="23" w:name="X8f0c77c3b9202b4474879d00e6f4a5f23502dbe"/>
    <w:p>
      <w:pPr>
        <w:pStyle w:val="Heading2"/>
      </w:pPr>
      <w:r>
        <w:t xml:space="preserve">Foundational Frameworks and National Standards</w:t>
      </w:r>
    </w:p>
    <w:bookmarkStart w:id="21" w:name="the-australian-curriculum"/>
    <w:p>
      <w:pPr>
        <w:pStyle w:val="Heading3"/>
      </w:pPr>
      <w:r>
        <w:t xml:space="preserve">1. The Australian Curriculum</w:t>
      </w:r>
    </w:p>
    <w:p>
      <w:pPr>
        <w:pStyle w:val="FirstParagraph"/>
      </w:pPr>
      <w:r>
        <w:t xml:space="preserve">ACARA. (2023).</w:t>
      </w:r>
      <w:r>
        <w:t xml:space="preserve"> </w:t>
      </w:r>
      <w:r>
        <w:rPr>
          <w:iCs/>
          <w:i/>
        </w:rPr>
        <w:t xml:space="preserve">The Australian Curriculum</w:t>
      </w:r>
      <w:r>
        <w:t xml:space="preserve">. Australian Curriculum, Assessment and Reporting Authority. https://www.australiancurriculum.edu.au</w:t>
      </w:r>
    </w:p>
    <w:p>
      <w:pPr>
        <w:pStyle w:val="BodyText"/>
      </w:pPr>
      <w:r>
        <w:t xml:space="preserve">This is the primary reference document for any Curriculum Developer working in Australia. It outlines the national learning standards across various learning areas. For a developer in Melbourne, this document is critical as it forms the backbone of the Victorian Curriculum. The annotation highlights that while this is a national framework, the developer must understand how these general capabilities and cross-curriculum priorities are adapted for local implementation. It serves as the baseline for ensuring that any curriculum designed in Melbourne aligns with national expectations for student achievement.</w:t>
      </w:r>
    </w:p>
    <w:bookmarkEnd w:id="21"/>
    <w:bookmarkStart w:id="22" w:name="the-victorian-curriculum-f-10"/>
    <w:p>
      <w:pPr>
        <w:pStyle w:val="Heading3"/>
      </w:pPr>
      <w:r>
        <w:t xml:space="preserve">2. The Victorian Curriculum F-10</w:t>
      </w:r>
    </w:p>
    <w:p>
      <w:pPr>
        <w:pStyle w:val="FirstParagraph"/>
      </w:pPr>
      <w:r>
        <w:t xml:space="preserve">Victorian Curriculum and Assessment Authority (VCAA). (2023).</w:t>
      </w:r>
      <w:r>
        <w:t xml:space="preserve"> </w:t>
      </w:r>
      <w:r>
        <w:rPr>
          <w:iCs/>
          <w:i/>
        </w:rPr>
        <w:t xml:space="preserve">The Victorian Curriculum F-10</w:t>
      </w:r>
      <w:r>
        <w:t xml:space="preserve">. VCAA. https://www.vcaa.vic.edu.au</w:t>
      </w:r>
    </w:p>
    <w:p>
      <w:pPr>
        <w:pStyle w:val="BodyText"/>
      </w:pPr>
      <w:r>
        <w:t xml:space="preserve">This resource is indispensable for a Curriculum Developer based in Melbourne. It details the specific learning outcomes, content descriptions, and achievement standards required for students in Victorian schools. Unlike the national curriculum, this document includes specific Victorian additions and modifications. A developer must utilize this text to ensure legal and educational compliance. It provides the structural integrity for lesson planning, assessment design, and resource creation within the Melbourne school system.</w:t>
      </w:r>
    </w:p>
    <w:bookmarkEnd w:id="22"/>
    <w:bookmarkEnd w:id="23"/>
    <w:bookmarkStart w:id="26" w:name="pedagogical-design-and-implementation"/>
    <w:p>
      <w:pPr>
        <w:pStyle w:val="Heading2"/>
      </w:pPr>
      <w:r>
        <w:t xml:space="preserve">Pedagogical Design and Implementation</w:t>
      </w:r>
    </w:p>
    <w:bookmarkStart w:id="24" w:name="understanding-by-design"/>
    <w:p>
      <w:pPr>
        <w:pStyle w:val="Heading3"/>
      </w:pPr>
      <w:r>
        <w:t xml:space="preserve">3. Understanding by Design</w:t>
      </w:r>
    </w:p>
    <w:p>
      <w:pPr>
        <w:pStyle w:val="FirstParagraph"/>
      </w:pPr>
      <w:r>
        <w:t xml:space="preserve">Wiggins, G., &amp; McTighe, J. (2005).</w:t>
      </w:r>
      <w:r>
        <w:t xml:space="preserve"> </w:t>
      </w:r>
      <w:r>
        <w:rPr>
          <w:iCs/>
          <w:i/>
        </w:rPr>
        <w:t xml:space="preserve">Understanding by Design</w:t>
      </w:r>
      <w:r>
        <w:t xml:space="preserve"> </w:t>
      </w:r>
      <w:r>
        <w:t xml:space="preserve">(2nd ed.). ASCD.</w:t>
      </w:r>
    </w:p>
    <w:p>
      <w:pPr>
        <w:pStyle w:val="BodyText"/>
      </w:pPr>
      <w:r>
        <w:t xml:space="preserve">This seminal text introduces the concept of "backward design," a methodology widely adopted by Curriculum Developers in Australia. The book argues that curriculum design should begin with the desired results (learning goals) and then determine the acceptable evidence of learning, before finally planning the learning experiences. For a developer in Melbourne, applying this framework ensures that the curriculum is not just a collection of activities but a coherent system aligned with VCAA standards. It is essential for creating effective assessment tasks that accurately measure student understanding.</w:t>
      </w:r>
    </w:p>
    <w:bookmarkEnd w:id="24"/>
    <w:bookmarkStart w:id="25" w:name="curriculum-design-and-development"/>
    <w:p>
      <w:pPr>
        <w:pStyle w:val="Heading3"/>
      </w:pPr>
      <w:r>
        <w:t xml:space="preserve">4. Curriculum Design and Development</w:t>
      </w:r>
    </w:p>
    <w:p>
      <w:pPr>
        <w:pStyle w:val="FirstParagraph"/>
      </w:pPr>
      <w:r>
        <w:t xml:space="preserve">Hargreaves, A., &amp; Fullan, M. (2012).</w:t>
      </w:r>
      <w:r>
        <w:t xml:space="preserve"> </w:t>
      </w:r>
      <w:r>
        <w:rPr>
          <w:iCs/>
          <w:i/>
        </w:rPr>
        <w:t xml:space="preserve">Professional Capital: Transforming Teaching in Every School</w:t>
      </w:r>
      <w:r>
        <w:t xml:space="preserve">. Teachers College Press.</w:t>
      </w:r>
    </w:p>
    <w:p>
      <w:pPr>
        <w:pStyle w:val="BodyText"/>
      </w:pPr>
      <w:r>
        <w:t xml:space="preserve">While broader in scope, this text is vital for understanding the human element of curriculum implementation. A Curriculum Developer in Melbourne cannot design in a vacuum; they must consider how teachers will interpret and deliver the material. Hargreaves and Fullan discuss the importance of "human capital" and "social capital" in schools. This resource helps developers create curricula that are practical, engaging, and supportive of teacher professional growth, ensuring that the theoretical design translates effectively into the classroom reality of Melbourne schools.</w:t>
      </w:r>
    </w:p>
    <w:bookmarkEnd w:id="25"/>
    <w:bookmarkEnd w:id="26"/>
    <w:bookmarkStart w:id="29" w:name="inclusivity-and-cultural-responsiveness"/>
    <w:p>
      <w:pPr>
        <w:pStyle w:val="Heading2"/>
      </w:pPr>
      <w:r>
        <w:t xml:space="preserve">Inclusivity and Cultural Responsiveness</w:t>
      </w:r>
    </w:p>
    <w:bookmarkStart w:id="27" w:name="X7806ec17c8e65b580253ba7ad706f20e0e0c134"/>
    <w:p>
      <w:pPr>
        <w:pStyle w:val="Heading3"/>
      </w:pPr>
      <w:r>
        <w:t xml:space="preserve">5. Culturally Responsive Teaching and the Brain</w:t>
      </w:r>
    </w:p>
    <w:p>
      <w:pPr>
        <w:pStyle w:val="FirstParagraph"/>
      </w:pPr>
      <w:r>
        <w:t xml:space="preserve">Zine, J. (2015).</w:t>
      </w:r>
      <w:r>
        <w:t xml:space="preserve"> </w:t>
      </w:r>
      <w:r>
        <w:rPr>
          <w:iCs/>
          <w:i/>
        </w:rPr>
        <w:t xml:space="preserve">Decolonizing the Curriculum: A Critical Pedagogy for Social Justice</w:t>
      </w:r>
      <w:r>
        <w:t xml:space="preserve">. Peter Lang.</w:t>
      </w:r>
    </w:p>
    <w:p>
      <w:pPr>
        <w:pStyle w:val="BodyText"/>
      </w:pPr>
      <w:r>
        <w:t xml:space="preserve">Melbourne is one of the most culturally diverse cities in the world. A Curriculum Developer must ensure that educational materials are inclusive and representative of this diversity. This text provides a critical framework for decolonizing the curriculum and ensuring that Indigenous Australian perspectives and multicultural viewpoints are integrated authentically. It guides developers in moving beyond tokenism to create learning experiences that validate the identities of all students in the Melbourne region, fostering a more equitable educational environment.</w:t>
      </w:r>
    </w:p>
    <w:bookmarkEnd w:id="27"/>
    <w:bookmarkStart w:id="28" w:name="universal-design-for-learning-udl"/>
    <w:p>
      <w:pPr>
        <w:pStyle w:val="Heading3"/>
      </w:pPr>
      <w:r>
        <w:t xml:space="preserve">6. Universal Design for Learning (UDL)</w:t>
      </w:r>
    </w:p>
    <w:p>
      <w:pPr>
        <w:pStyle w:val="FirstParagraph"/>
      </w:pPr>
      <w:r>
        <w:t xml:space="preserve">CAST. (2018).</w:t>
      </w:r>
      <w:r>
        <w:t xml:space="preserve"> </w:t>
      </w:r>
      <w:r>
        <w:rPr>
          <w:iCs/>
          <w:i/>
        </w:rPr>
        <w:t xml:space="preserve">Universal Design for Learning Guidelines version 2.2</w:t>
      </w:r>
      <w:r>
        <w:t xml:space="preserve">. Center for Applied Special Technology. https://udlguidelines.cast.org</w:t>
      </w:r>
    </w:p>
    <w:p>
      <w:pPr>
        <w:pStyle w:val="BodyText"/>
      </w:pPr>
      <w:r>
        <w:t xml:space="preserve">This resource is crucial for designing accessible curricula. UDL provides a framework for improving and optimizing teaching and learning for all people based on scientific insights into how humans learn. For a Curriculum Developer in Melbourne, adhering to UDL principles ensures that the curriculum is accessible to students with diverse learning needs, including those with disabilities. It emphasizes multiple means of engagement, representation, and action/expression, which is essential for creating an inclusive educational system in Victoria.</w:t>
      </w:r>
    </w:p>
    <w:bookmarkEnd w:id="28"/>
    <w:bookmarkEnd w:id="29"/>
    <w:bookmarkStart w:id="32" w:name="technology-and-future-trends"/>
    <w:p>
      <w:pPr>
        <w:pStyle w:val="Heading2"/>
      </w:pPr>
      <w:r>
        <w:t xml:space="preserve">Technology and Future Trends</w:t>
      </w:r>
    </w:p>
    <w:bookmarkStart w:id="30" w:name="the-samr-model"/>
    <w:p>
      <w:pPr>
        <w:pStyle w:val="Heading3"/>
      </w:pPr>
      <w:r>
        <w:t xml:space="preserve">7. The SAMR Model</w:t>
      </w:r>
    </w:p>
    <w:p>
      <w:pPr>
        <w:pStyle w:val="FirstParagraph"/>
      </w:pPr>
      <w:r>
        <w:t xml:space="preserve">Puentedura, R. R. (2006).</w:t>
      </w:r>
      <w:r>
        <w:t xml:space="preserve"> </w:t>
      </w:r>
      <w:r>
        <w:rPr>
          <w:iCs/>
          <w:i/>
        </w:rPr>
        <w:t xml:space="preserve">Transformation, Technology, and Education</w:t>
      </w:r>
      <w:r>
        <w:t xml:space="preserve">. Hippasus. https://hippasus.com/resources/tte/</w:t>
      </w:r>
    </w:p>
    <w:p>
      <w:pPr>
        <w:pStyle w:val="BodyText"/>
      </w:pPr>
      <w:r>
        <w:t xml:space="preserve">As Melbourne schools increasingly integrate digital technologies, the Curriculum Developer must understand how to embed technology meaningfully. The SAMR model (Substitution, Augmentation, Modification, Redefinition) provides a framework for evaluating the use of technology in curriculum design. This resource helps developers move beyond using technology merely as a substitute for traditional tools to using it to redefine learning tasks in ways that were previously inconceivable. It is essential for creating modern, future-ready curricula.</w:t>
      </w:r>
    </w:p>
    <w:bookmarkEnd w:id="30"/>
    <w:bookmarkStart w:id="31" w:name="assessment-for-learning"/>
    <w:p>
      <w:pPr>
        <w:pStyle w:val="Heading3"/>
      </w:pPr>
      <w:r>
        <w:t xml:space="preserve">8. Assessment for Learning</w:t>
      </w:r>
    </w:p>
    <w:p>
      <w:pPr>
        <w:pStyle w:val="FirstParagraph"/>
      </w:pPr>
      <w:r>
        <w:t xml:space="preserve">Black, P., &amp; Wiliam, D. (2018).</w:t>
      </w:r>
      <w:r>
        <w:t xml:space="preserve"> </w:t>
      </w:r>
      <w:r>
        <w:rPr>
          <w:iCs/>
          <w:i/>
        </w:rPr>
        <w:t xml:space="preserve">Classroom Assessment and Pedagogy</w:t>
      </w:r>
      <w:r>
        <w:t xml:space="preserve">. Assessment in Education: Principles, Policy &amp; Practice, 25(1), 5-31.</w:t>
      </w:r>
    </w:p>
    <w:p>
      <w:pPr>
        <w:pStyle w:val="BodyText"/>
      </w:pPr>
      <w:r>
        <w:t xml:space="preserve">This article reinforces the importance of formative assessment in curriculum design. For a Curriculum Developer in Melbourne, understanding how assessment drives learning is critical. The text argues that assessment should be an integral part of the teaching and learning process, providing feedback that helps students improve. This resource guides developers in creating curricula that include ongoing assessment strategies, rather than relying solely on summative tests, aligning with the VCAA's emphasis on continuous improvement and student feedback.</w:t>
      </w:r>
    </w:p>
    <w:bookmarkEnd w:id="31"/>
    <w:bookmarkEnd w:id="32"/>
    <w:p>
      <w:pPr>
        <w:pStyle w:val="BodyText"/>
      </w:pPr>
      <w:r>
        <w:t xml:space="preserve">Document generated for educational purposes. All citations are formatted in APA style. Content is specific to the context of Curriculum Development in Melbourne,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Melbourne, Australia</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