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Montreal,</w:t>
      </w:r>
      <w:r>
        <w:t xml:space="preserve"> </w:t>
      </w:r>
      <w:r>
        <w:t xml:space="preserve">Canada</w:t>
      </w:r>
    </w:p>
    <w:bookmarkStart w:id="20" w:name="Xc47bbd95e33642d5bdd43327d1e5479e79ce959"/>
    <w:p>
      <w:pPr>
        <w:pStyle w:val="Heading1"/>
      </w:pPr>
      <w:r>
        <w:t xml:space="preserve">Annotated Bibliography: The Role of the Curriculum Developer in Montreal, Canada</w:t>
      </w:r>
    </w:p>
    <w:bookmarkEnd w:id="20"/>
    <w:p>
      <w:pPr>
        <w:pStyle w:val="FirstParagraph"/>
      </w:pPr>
      <w:r>
        <w:t xml:space="preserve">This annotated bibliography compiles essential resources regarding the profession of the</w:t>
      </w:r>
      <w:r>
        <w:t xml:space="preserve"> </w:t>
      </w:r>
      <w:r>
        <w:rPr>
          <w:bCs/>
          <w:b/>
        </w:rPr>
        <w:t xml:space="preserve">Curriculum Developer</w:t>
      </w:r>
      <w:r>
        <w:t xml:space="preserve"> </w:t>
      </w:r>
      <w:r>
        <w:t xml:space="preserve">within the specific educational and cultural context of</w:t>
      </w:r>
      <w:r>
        <w:t xml:space="preserve"> </w:t>
      </w:r>
      <w:r>
        <w:rPr>
          <w:bCs/>
          <w:b/>
        </w:rPr>
        <w:t xml:space="preserve">Montreal, Canada</w:t>
      </w:r>
      <w:r>
        <w:t xml:space="preserve">. The role of a curriculum developer in Montreal is unique due to the city's bilingual nature (French and English), its diverse immigrant population, and the distinct regulatory frameworks of the Quebec Ministry of Education (MEES) versus the English School Boards. The following entries explore pedagogical frameworks, cultural responsiveness, and the technical skills required to design effective learning experiences in this region.</w:t>
      </w:r>
    </w:p>
    <w:bookmarkStart w:id="21" w:name="references"/>
    <w:p>
      <w:pPr>
        <w:pStyle w:val="Heading2"/>
      </w:pPr>
      <w:r>
        <w:t xml:space="preserve">References</w:t>
      </w:r>
    </w:p>
    <w:p>
      <w:pPr>
        <w:pStyle w:val="FirstParagraph"/>
      </w:pPr>
      <w:r>
        <w:t xml:space="preserve">Ministère de l'Éducation, du Loisir et du Sport du Québec. (2020).</w:t>
      </w:r>
      <w:r>
        <w:t xml:space="preserve"> </w:t>
      </w:r>
      <w:r>
        <w:rPr>
          <w:iCs/>
          <w:i/>
        </w:rPr>
        <w:t xml:space="preserve">Programme de formation de l'école québécoise : Éducation préscolaire et enseignement primaire</w:t>
      </w:r>
      <w:r>
        <w:t xml:space="preserve">. Gouvernement du Québec.</w:t>
      </w:r>
    </w:p>
    <w:p>
      <w:pPr>
        <w:pStyle w:val="BodyText"/>
      </w:pPr>
      <w:r>
        <w:t xml:space="preserve">This foundational document is the primary reference for any</w:t>
      </w:r>
      <w:r>
        <w:t xml:space="preserve"> </w:t>
      </w:r>
      <w:r>
        <w:rPr>
          <w:bCs/>
          <w:b/>
        </w:rPr>
        <w:t xml:space="preserve">Curriculum Developer</w:t>
      </w:r>
      <w:r>
        <w:t xml:space="preserve"> </w:t>
      </w:r>
      <w:r>
        <w:t xml:space="preserve">working in the French public sector in</w:t>
      </w:r>
      <w:r>
        <w:t xml:space="preserve"> </w:t>
      </w:r>
      <w:r>
        <w:rPr>
          <w:bCs/>
          <w:b/>
        </w:rPr>
        <w:t xml:space="preserve">Montreal</w:t>
      </w:r>
      <w:r>
        <w:t xml:space="preserve">. It outlines the mandatory competencies, transversal competencies, and evaluation criteria for students. For a developer, this text is not merely a guideline but a legal framework. It emphasizes a competency-based approach rather than a content-based one, requiring developers to design learning situations that allow students to demonstrate mastery of skills. Understanding this document is critical for aligning local Montreal school board initiatives with provincial standards.</w:t>
      </w:r>
    </w:p>
    <w:p>
      <w:pPr>
        <w:pStyle w:val="BodyText"/>
      </w:pPr>
      <w:r>
        <w:t xml:space="preserve">Darling-Hammond, L., &amp; Taylor, C. (2005).</w:t>
      </w:r>
      <w:r>
        <w:t xml:space="preserve"> </w:t>
      </w:r>
      <w:r>
        <w:rPr>
          <w:iCs/>
          <w:i/>
        </w:rPr>
        <w:t xml:space="preserve">Effective Teacher Education Practices: Findings from National and International Studies</w:t>
      </w:r>
      <w:r>
        <w:t xml:space="preserve">. Stanford University.</w:t>
      </w:r>
    </w:p>
    <w:p>
      <w:pPr>
        <w:pStyle w:val="BodyText"/>
      </w:pPr>
      <w:r>
        <w:t xml:space="preserve">While not specific to</w:t>
      </w:r>
      <w:r>
        <w:t xml:space="preserve"> </w:t>
      </w:r>
      <w:r>
        <w:rPr>
          <w:bCs/>
          <w:b/>
        </w:rPr>
        <w:t xml:space="preserve">Canada</w:t>
      </w:r>
      <w:r>
        <w:t xml:space="preserve">, this seminal work is widely cited in</w:t>
      </w:r>
      <w:r>
        <w:t xml:space="preserve"> </w:t>
      </w:r>
      <w:r>
        <w:rPr>
          <w:bCs/>
          <w:b/>
        </w:rPr>
        <w:t xml:space="preserve">Montreal</w:t>
      </w:r>
      <w:r>
        <w:t xml:space="preserve">'s higher education institutions, such as McGill and Université de Montréal. It provides evidence-based strategies for curriculum design that focus on teacher efficacy and student outcomes. For a</w:t>
      </w:r>
      <w:r>
        <w:t xml:space="preserve"> </w:t>
      </w:r>
      <w:r>
        <w:rPr>
          <w:bCs/>
          <w:b/>
        </w:rPr>
        <w:t xml:space="preserve">Curriculum Developer</w:t>
      </w:r>
      <w:r>
        <w:t xml:space="preserve">, this resource offers a macro-perspective on how curriculum structures influence teaching quality. It is particularly useful when advocating for evidence-based curriculum changes within English School Boards in Montreal, bridging the gap between theoretical pedagogy and practical classroom application.</w:t>
      </w:r>
    </w:p>
    <w:p>
      <w:pPr>
        <w:pStyle w:val="BodyText"/>
      </w:pPr>
      <w:r>
        <w:t xml:space="preserve">Gay, G. (2018).</w:t>
      </w:r>
      <w:r>
        <w:t xml:space="preserve"> </w:t>
      </w:r>
      <w:r>
        <w:rPr>
          <w:iCs/>
          <w:i/>
        </w:rPr>
        <w:t xml:space="preserve">Culturally Responsive Teaching: Theory, Research, and Practice</w:t>
      </w:r>
      <w:r>
        <w:t xml:space="preserve"> </w:t>
      </w:r>
      <w:r>
        <w:t xml:space="preserve">(3rd ed.). Teachers College Press.</w:t>
      </w:r>
    </w:p>
    <w:p>
      <w:pPr>
        <w:pStyle w:val="BodyText"/>
      </w:pPr>
      <w:r>
        <w:rPr>
          <w:bCs/>
          <w:b/>
        </w:rPr>
        <w:t xml:space="preserve">Montreal</w:t>
      </w:r>
      <w:r>
        <w:t xml:space="preserve"> </w:t>
      </w:r>
      <w:r>
        <w:t xml:space="preserve">is one of the most culturally diverse cities in</w:t>
      </w:r>
      <w:r>
        <w:t xml:space="preserve"> </w:t>
      </w:r>
      <w:r>
        <w:rPr>
          <w:bCs/>
          <w:b/>
        </w:rPr>
        <w:t xml:space="preserve">Canada</w:t>
      </w:r>
      <w:r>
        <w:t xml:space="preserve">, with a significant population of immigrants and visible minorities. This text is indispensable for a</w:t>
      </w:r>
      <w:r>
        <w:t xml:space="preserve"> </w:t>
      </w:r>
      <w:r>
        <w:rPr>
          <w:bCs/>
          <w:b/>
        </w:rPr>
        <w:t xml:space="preserve">Curriculum Developer</w:t>
      </w:r>
      <w:r>
        <w:t xml:space="preserve"> </w:t>
      </w:r>
      <w:r>
        <w:t xml:space="preserve">tasked with creating inclusive materials. Gay argues that curriculum must reflect the cultural backgrounds of students to be effective. In the Montreal context, this means moving beyond a Eurocentric narrative to include Indigenous perspectives, Francophone realities, and the histories of immigrant communities. This book provides the theoretical framework necessary to audit and redesign curricula for cultural relevance.</w:t>
      </w:r>
    </w:p>
    <w:p>
      <w:pPr>
        <w:pStyle w:val="BodyText"/>
      </w:pPr>
      <w:r>
        <w:t xml:space="preserve">Wiggins, G., &amp; McTighe, J. (2005).</w:t>
      </w:r>
      <w:r>
        <w:t xml:space="preserve"> </w:t>
      </w:r>
      <w:r>
        <w:rPr>
          <w:iCs/>
          <w:i/>
        </w:rPr>
        <w:t xml:space="preserve">Understanding by Design</w:t>
      </w:r>
      <w:r>
        <w:t xml:space="preserve"> </w:t>
      </w:r>
      <w:r>
        <w:t xml:space="preserve">(2nd ed.). ASCD.</w:t>
      </w:r>
    </w:p>
    <w:p>
      <w:pPr>
        <w:pStyle w:val="BodyText"/>
      </w:pPr>
      <w:r>
        <w:t xml:space="preserve">The "Understanding by Design" (UbD) framework is a standard methodology used by</w:t>
      </w:r>
      <w:r>
        <w:t xml:space="preserve"> </w:t>
      </w:r>
      <w:r>
        <w:rPr>
          <w:bCs/>
          <w:b/>
        </w:rPr>
        <w:t xml:space="preserve">Curriculum Developers</w:t>
      </w:r>
      <w:r>
        <w:t xml:space="preserve"> </w:t>
      </w:r>
      <w:r>
        <w:t xml:space="preserve">in</w:t>
      </w:r>
      <w:r>
        <w:t xml:space="preserve"> </w:t>
      </w:r>
      <w:r>
        <w:rPr>
          <w:bCs/>
          <w:b/>
        </w:rPr>
        <w:t xml:space="preserve">Montreal</w:t>
      </w:r>
      <w:r>
        <w:t xml:space="preserve">'s English school boards (such as the English Montreal School Board). This resource teaches the concept of "backward design," where developers start with the desired learning outcomes and then create assessments and learning activities to support them. It is highly practical for structuring units of study that are coherent and measurable. For developers in</w:t>
      </w:r>
      <w:r>
        <w:t xml:space="preserve"> </w:t>
      </w:r>
      <w:r>
        <w:rPr>
          <w:bCs/>
          <w:b/>
        </w:rPr>
        <w:t xml:space="preserve">Canada</w:t>
      </w:r>
      <w:r>
        <w:t xml:space="preserve">, this text helps align local curriculum with international best practices in educational design.</w:t>
      </w:r>
    </w:p>
    <w:p>
      <w:pPr>
        <w:pStyle w:val="BodyText"/>
      </w:pPr>
      <w:r>
        <w:t xml:space="preserve">Canadian Council on Learning. (2010).</w:t>
      </w:r>
      <w:r>
        <w:t xml:space="preserve"> </w:t>
      </w:r>
      <w:r>
        <w:rPr>
          <w:iCs/>
          <w:i/>
        </w:rPr>
        <w:t xml:space="preserve">First Nations, Inuit, and Métis Learners: A Review of the Literature on Effective Practices</w:t>
      </w:r>
      <w:r>
        <w:t xml:space="preserve">.</w:t>
      </w:r>
    </w:p>
    <w:p>
      <w:pPr>
        <w:pStyle w:val="BodyText"/>
      </w:pPr>
      <w:r>
        <w:t xml:space="preserve">Reconciliation is a central theme in modern</w:t>
      </w:r>
      <w:r>
        <w:t xml:space="preserve"> </w:t>
      </w:r>
      <w:r>
        <w:rPr>
          <w:bCs/>
          <w:b/>
        </w:rPr>
        <w:t xml:space="preserve">Canadian</w:t>
      </w:r>
      <w:r>
        <w:t xml:space="preserve"> </w:t>
      </w:r>
      <w:r>
        <w:t xml:space="preserve">education. In</w:t>
      </w:r>
      <w:r>
        <w:t xml:space="preserve"> </w:t>
      </w:r>
      <w:r>
        <w:rPr>
          <w:bCs/>
          <w:b/>
        </w:rPr>
        <w:t xml:space="preserve">Montreal</w:t>
      </w:r>
      <w:r>
        <w:t xml:space="preserve">, curriculum developers are increasingly required to integrate Indigenous knowledge systems into their designs. This report provides specific, actionable recommendations for creating curricula that are respectful and accurate regarding First Nations, Inuit, and Métis peoples. It serves as a vital resource for ensuring that educational materials in Montreal do not perpetuate stereotypes but instead foster understanding and respect for Indigenous cultures, aligning with the Truth and Reconciliation Commission's calls to action.</w:t>
      </w:r>
    </w:p>
    <w:p>
      <w:pPr>
        <w:pStyle w:val="BodyText"/>
      </w:pPr>
      <w:r>
        <w:t xml:space="preserve">Siemens, G. (2005).</w:t>
      </w:r>
      <w:r>
        <w:t xml:space="preserve"> </w:t>
      </w:r>
      <w:r>
        <w:rPr>
          <w:iCs/>
          <w:i/>
        </w:rPr>
        <w:t xml:space="preserve">Connectivism: A Learning Theory for the Digital Age</w:t>
      </w:r>
      <w:r>
        <w:t xml:space="preserve">. International Journal of Instructional Technology and Distance Learning, 2(1), 3-10.</w:t>
      </w:r>
    </w:p>
    <w:p>
      <w:pPr>
        <w:pStyle w:val="BodyText"/>
      </w:pPr>
      <w:r>
        <w:t xml:space="preserve">As</w:t>
      </w:r>
      <w:r>
        <w:t xml:space="preserve"> </w:t>
      </w:r>
      <w:r>
        <w:rPr>
          <w:bCs/>
          <w:b/>
        </w:rPr>
        <w:t xml:space="preserve">Montreal</w:t>
      </w:r>
      <w:r>
        <w:t xml:space="preserve"> </w:t>
      </w:r>
      <w:r>
        <w:t xml:space="preserve">positions itself as a global hub for artificial intelligence and technology, the role of the</w:t>
      </w:r>
      <w:r>
        <w:t xml:space="preserve"> </w:t>
      </w:r>
      <w:r>
        <w:rPr>
          <w:bCs/>
          <w:b/>
        </w:rPr>
        <w:t xml:space="preserve">Curriculum Developer</w:t>
      </w:r>
      <w:r>
        <w:t xml:space="preserve"> </w:t>
      </w:r>
      <w:r>
        <w:t xml:space="preserve">has expanded to include digital learning design. Siemens' theory of Connectivism is crucial for developers creating online or blended learning environments. It suggests that learning occurs through networks and connections, which is highly relevant for designing digital curricula for Montreal's adult education centers and universities. This article helps developers understand how to structure content for the digital age, ensuring it is accessible, networked, and up-to-date.</w:t>
      </w:r>
    </w:p>
    <w:p>
      <w:pPr>
        <w:pStyle w:val="BodyText"/>
      </w:pPr>
      <w:r>
        <w:t xml:space="preserve">Tomlinson, C. A. (2014).</w:t>
      </w:r>
      <w:r>
        <w:t xml:space="preserve"> </w:t>
      </w:r>
      <w:r>
        <w:rPr>
          <w:iCs/>
          <w:i/>
        </w:rPr>
        <w:t xml:space="preserve">The Differentiated Classroom: Responding to the Needs of All Learners</w:t>
      </w:r>
      <w:r>
        <w:t xml:space="preserve"> </w:t>
      </w:r>
      <w:r>
        <w:t xml:space="preserve">(2nd ed.). ASCD.</w:t>
      </w:r>
    </w:p>
    <w:p>
      <w:pPr>
        <w:pStyle w:val="BodyText"/>
      </w:pPr>
      <w:r>
        <w:t xml:space="preserve">Classrooms in</w:t>
      </w:r>
      <w:r>
        <w:t xml:space="preserve"> </w:t>
      </w:r>
      <w:r>
        <w:rPr>
          <w:bCs/>
          <w:b/>
        </w:rPr>
        <w:t xml:space="preserve">Montreal</w:t>
      </w:r>
      <w:r>
        <w:t xml:space="preserve"> </w:t>
      </w:r>
      <w:r>
        <w:t xml:space="preserve">are heterogeneous, often containing students with varying language proficiencies (French, English, and other languages) and learning abilities. Tomlinson's work is essential for a</w:t>
      </w:r>
      <w:r>
        <w:t xml:space="preserve"> </w:t>
      </w:r>
      <w:r>
        <w:rPr>
          <w:bCs/>
          <w:b/>
        </w:rPr>
        <w:t xml:space="preserve">Curriculum Developer</w:t>
      </w:r>
      <w:r>
        <w:t xml:space="preserve"> </w:t>
      </w:r>
      <w:r>
        <w:t xml:space="preserve">aiming to create flexible learning pathways. This book provides strategies for differentiating content, process, and product. In the context of</w:t>
      </w:r>
      <w:r>
        <w:t xml:space="preserve"> </w:t>
      </w:r>
      <w:r>
        <w:rPr>
          <w:bCs/>
          <w:b/>
        </w:rPr>
        <w:t xml:space="preserve">Canada</w:t>
      </w:r>
      <w:r>
        <w:t xml:space="preserve">'s inclusive education policies, this resource guides developers in creating materials that support students with special needs and English Language Learners (ELL) without compromising academic rigor.</w:t>
      </w:r>
    </w:p>
    <w:p>
      <w:pPr>
        <w:pStyle w:val="BodyText"/>
      </w:pPr>
      <w:r>
        <w:t xml:space="preserve">Office québécois de la langue française. (2021).</w:t>
      </w:r>
      <w:r>
        <w:t xml:space="preserve"> </w:t>
      </w:r>
      <w:r>
        <w:rPr>
          <w:iCs/>
          <w:i/>
        </w:rPr>
        <w:t xml:space="preserve">Charter of the French Language (Bill 96)</w:t>
      </w:r>
      <w:r>
        <w:t xml:space="preserve">. Gouvernement du Québec.</w:t>
      </w:r>
    </w:p>
    <w:p>
      <w:pPr>
        <w:pStyle w:val="BodyText"/>
      </w:pPr>
      <w:r>
        <w:t xml:space="preserve">Language policy is a defining feature of working in</w:t>
      </w:r>
      <w:r>
        <w:t xml:space="preserve"> </w:t>
      </w:r>
      <w:r>
        <w:rPr>
          <w:bCs/>
          <w:b/>
        </w:rPr>
        <w:t xml:space="preserve">Montreal</w:t>
      </w:r>
      <w:r>
        <w:t xml:space="preserve">. For a</w:t>
      </w:r>
      <w:r>
        <w:t xml:space="preserve"> </w:t>
      </w:r>
      <w:r>
        <w:rPr>
          <w:bCs/>
          <w:b/>
        </w:rPr>
        <w:t xml:space="preserve">Curriculum Developer</w:t>
      </w:r>
      <w:r>
        <w:t xml:space="preserve">, understanding the legal requirements regarding the French language is non-negotiable. This document outlines the obligations for educational institutions regarding language of instruction and the use of French in educational materials. Even in English school boards, developers must be aware of these regulations when creating bilingual resources or materials for the broader Quebec public. This resource ensures that curriculum development projects remain legally compliant and culturally sensitive to the linguistic landscape of</w:t>
      </w:r>
      <w:r>
        <w:t xml:space="preserve"> </w:t>
      </w:r>
      <w:r>
        <w:rPr>
          <w:bCs/>
          <w:b/>
        </w:rPr>
        <w:t xml:space="preserve">Canada</w:t>
      </w:r>
      <w:r>
        <w:t xml:space="preserve">'s Quebec province.</w:t>
      </w:r>
    </w:p>
    <w:bookmarkEnd w:id="21"/>
    <w:p>
      <w:pPr>
        <w:pStyle w:val="BodyText"/>
      </w:pPr>
      <w:r>
        <w:t xml:space="preserve">Document generated for educational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Montreal, Canada</dc:title>
  <dc:creator/>
  <dc:language>en</dc:language>
  <cp:keywords/>
  <dcterms:created xsi:type="dcterms:W3CDTF">2026-08-07T19:56:02Z</dcterms:created>
  <dcterms:modified xsi:type="dcterms:W3CDTF">2026-08-07T19:56:02Z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