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Vancouver,</w:t>
      </w:r>
      <w:r>
        <w:t xml:space="preserve"> </w:t>
      </w:r>
      <w:r>
        <w:t xml:space="preserve">Canada</w:t>
      </w:r>
    </w:p>
    <w:bookmarkStart w:id="20" w:name="annotated-bibliography"/>
    <w:p>
      <w:pPr>
        <w:pStyle w:val="Heading1"/>
      </w:pPr>
      <w:r>
        <w:t xml:space="preserve">Annotated Bibliography</w:t>
      </w:r>
    </w:p>
    <w:p>
      <w:pPr>
        <w:pStyle w:val="FirstParagraph"/>
      </w:pPr>
      <w:r>
        <w:t xml:space="preserve">Curriculum Development and Instructional Design in Vancouver, Canada</w:t>
      </w:r>
    </w:p>
    <w:bookmarkEnd w:id="20"/>
    <w:p>
      <w:pPr>
        <w:pStyle w:val="BodyText"/>
      </w:pPr>
      <w:r>
        <w:t xml:space="preserve">The role of a</w:t>
      </w:r>
      <w:r>
        <w:t xml:space="preserve"> </w:t>
      </w:r>
      <w:r>
        <w:rPr>
          <w:bCs/>
          <w:b/>
        </w:rPr>
        <w:t xml:space="preserve">Curriculum Developer</w:t>
      </w:r>
      <w:r>
        <w:t xml:space="preserve"> </w:t>
      </w:r>
      <w:r>
        <w:t xml:space="preserve">is pivotal in shaping educational outcomes, particularly within the dynamic and diverse landscape of</w:t>
      </w:r>
      <w:r>
        <w:t xml:space="preserve"> </w:t>
      </w:r>
      <w:r>
        <w:rPr>
          <w:bCs/>
          <w:b/>
        </w:rPr>
        <w:t xml:space="preserve">Canada Vancouver</w:t>
      </w:r>
      <w:r>
        <w:t xml:space="preserve">. As a major hub for technology, international migration, and progressive pedagogy, Vancouver presents unique challenges and opportunities for instructional design. This annotated bibliography compiles essential resources that address the specific needs of curriculum developers operating in British Columbia. The selected texts cover the British Columbia Ministry of Education’s competency-based curriculum, Indigenous reconciliation in education, and the integration of digital learning tools prevalent in the Vancouver tech sector.</w:t>
      </w:r>
    </w:p>
    <w:bookmarkStart w:id="21" w:name="government-policy-and-frameworks"/>
    <w:p>
      <w:pPr>
        <w:pStyle w:val="Heading2"/>
      </w:pPr>
      <w:r>
        <w:t xml:space="preserve">Government Policy and Frameworks</w:t>
      </w:r>
    </w:p>
    <w:p>
      <w:pPr>
        <w:pStyle w:val="FirstParagraph"/>
      </w:pPr>
      <w:r>
        <w:t xml:space="preserve">British Columbia Ministry of Education. (2016).</w:t>
      </w:r>
      <w:r>
        <w:t xml:space="preserve"> </w:t>
      </w:r>
      <w:r>
        <w:rPr>
          <w:iCs/>
          <w:i/>
        </w:rPr>
        <w:t xml:space="preserve">Curriculum Overview: The New BC Curriculum</w:t>
      </w:r>
      <w:r>
        <w:t xml:space="preserve">. Government of British Columbia.</w:t>
      </w:r>
    </w:p>
    <w:p>
      <w:pPr>
        <w:pStyle w:val="BodyText"/>
      </w:pPr>
      <w:r>
        <w:t xml:space="preserve">This foundational document outlines the shift from a content-heavy model to a competency-based curriculum in British Columbia. For a</w:t>
      </w:r>
      <w:r>
        <w:t xml:space="preserve"> </w:t>
      </w:r>
      <w:r>
        <w:rPr>
          <w:bCs/>
          <w:b/>
        </w:rPr>
        <w:t xml:space="preserve">Curriculum Developer</w:t>
      </w:r>
      <w:r>
        <w:t xml:space="preserve"> </w:t>
      </w:r>
      <w:r>
        <w:t xml:space="preserve">in</w:t>
      </w:r>
      <w:r>
        <w:t xml:space="preserve"> </w:t>
      </w:r>
      <w:r>
        <w:rPr>
          <w:bCs/>
          <w:b/>
        </w:rPr>
        <w:t xml:space="preserve">Canada Vancouver</w:t>
      </w:r>
      <w:r>
        <w:t xml:space="preserve">, this text is indispensable. It details the "Big Ideas," "Curricular Competencies," and "Content" structure that defines modern BC education. The document emphasizes the importance of student agency and personalized learning, which are critical considerations when designing curricula for Vancouver’s multicultural student body. It serves as the primary regulatory framework that all local curriculum projects must align with.</w:t>
      </w:r>
    </w:p>
    <w:p>
      <w:pPr>
        <w:pStyle w:val="BodyText"/>
      </w:pPr>
      <w:r>
        <w:t xml:space="preserve">First Peoples’ Education Advisory Council (FPEAC). (2019).</w:t>
      </w:r>
      <w:r>
        <w:t xml:space="preserve"> </w:t>
      </w:r>
      <w:r>
        <w:rPr>
          <w:iCs/>
          <w:i/>
        </w:rPr>
        <w:t xml:space="preserve">First Peoples Principles of Learning</w:t>
      </w:r>
      <w:r>
        <w:t xml:space="preserve">. Government of British Columbia.</w:t>
      </w:r>
    </w:p>
    <w:p>
      <w:pPr>
        <w:pStyle w:val="BodyText"/>
      </w:pPr>
      <w:r>
        <w:t xml:space="preserve">In the context of</w:t>
      </w:r>
      <w:r>
        <w:t xml:space="preserve"> </w:t>
      </w:r>
      <w:r>
        <w:rPr>
          <w:bCs/>
          <w:b/>
        </w:rPr>
        <w:t xml:space="preserve">Canada Vancouver</w:t>
      </w:r>
      <w:r>
        <w:t xml:space="preserve">, where Indigenous history and rights are central to the community identity, this resource is mandatory reading for any curriculum professional. It outlines nine principles that guide the integration of Indigenous knowledge systems into the broader curriculum. A</w:t>
      </w:r>
      <w:r>
        <w:t xml:space="preserve"> </w:t>
      </w:r>
      <w:r>
        <w:rPr>
          <w:bCs/>
          <w:b/>
        </w:rPr>
        <w:t xml:space="preserve">Curriculum Developer</w:t>
      </w:r>
      <w:r>
        <w:t xml:space="preserve"> </w:t>
      </w:r>
      <w:r>
        <w:t xml:space="preserve">must utilize these principles to ensure that educational materials are culturally responsive and contribute to the Truth and Reconciliation Commission’s calls to action. This text provides the ethical and pedagogical framework necessary for developing inclusive content that respects the Coast Salish and other Indigenous nations of the region.</w:t>
      </w:r>
    </w:p>
    <w:bookmarkEnd w:id="21"/>
    <w:bookmarkStart w:id="22" w:name="instructional-design-and-technology"/>
    <w:p>
      <w:pPr>
        <w:pStyle w:val="Heading2"/>
      </w:pPr>
      <w:r>
        <w:t xml:space="preserve">Instructional Design and Technology</w:t>
      </w:r>
    </w:p>
    <w:p>
      <w:pPr>
        <w:pStyle w:val="FirstParagraph"/>
      </w:pPr>
      <w:r>
        <w:t xml:space="preserve">Merrill, M. D. (2002). First Principles of Instruction.</w:t>
      </w:r>
      <w:r>
        <w:t xml:space="preserve"> </w:t>
      </w:r>
      <w:r>
        <w:rPr>
          <w:iCs/>
          <w:i/>
        </w:rPr>
        <w:t xml:space="preserve">Educational Technology Research and Development, 50</w:t>
      </w:r>
      <w:r>
        <w:t xml:space="preserve">(3), 43-59.</w:t>
      </w:r>
    </w:p>
    <w:p>
      <w:pPr>
        <w:pStyle w:val="BodyText"/>
      </w:pPr>
      <w:r>
        <w:t xml:space="preserve">While not specific to Vancouver, Merrill’s First Principles are widely applied by</w:t>
      </w:r>
      <w:r>
        <w:t xml:space="preserve"> </w:t>
      </w:r>
      <w:r>
        <w:rPr>
          <w:bCs/>
          <w:b/>
        </w:rPr>
        <w:t xml:space="preserve">Curriculum Developers</w:t>
      </w:r>
      <w:r>
        <w:t xml:space="preserve"> </w:t>
      </w:r>
      <w:r>
        <w:t xml:space="preserve">in the region’s robust corporate training and ed-tech sectors. Vancouver is home to numerous technology firms that require structured learning interventions. This article provides a universal framework for designing effective instruction by focusing on problem-centered activities and activation of prior knowledge. For professionals in</w:t>
      </w:r>
      <w:r>
        <w:t xml:space="preserve"> </w:t>
      </w:r>
      <w:r>
        <w:rPr>
          <w:bCs/>
          <w:b/>
        </w:rPr>
        <w:t xml:space="preserve">Canada Vancouver</w:t>
      </w:r>
      <w:r>
        <w:t xml:space="preserve"> </w:t>
      </w:r>
      <w:r>
        <w:t xml:space="preserve">working in the private sector or higher education, this theoretical model offers a rigorous method for ensuring that digital and hybrid learning modules are effective and measurable.</w:t>
      </w:r>
    </w:p>
    <w:p>
      <w:pPr>
        <w:pStyle w:val="BodyText"/>
      </w:pPr>
      <w:r>
        <w:t xml:space="preserve">Siemens, G. (2005). Connectivism: A Learning Theory for the Digital Age.</w:t>
      </w:r>
      <w:r>
        <w:t xml:space="preserve"> </w:t>
      </w:r>
      <w:r>
        <w:rPr>
          <w:iCs/>
          <w:i/>
        </w:rPr>
        <w:t xml:space="preserve">International Journal of Instructional Technology and Distance Learning, 2</w:t>
      </w:r>
      <w:r>
        <w:t xml:space="preserve">(1), 3-10.</w:t>
      </w:r>
    </w:p>
    <w:p>
      <w:pPr>
        <w:pStyle w:val="BodyText"/>
      </w:pPr>
      <w:r>
        <w:t xml:space="preserve">Given Vancouver’s status as a global technology hub, the concept of connectivism is highly relevant for modern curriculum design. This article argues that learning occurs through the connection of specialized nodes or information sources. For a</w:t>
      </w:r>
      <w:r>
        <w:t xml:space="preserve"> </w:t>
      </w:r>
      <w:r>
        <w:rPr>
          <w:bCs/>
          <w:b/>
        </w:rPr>
        <w:t xml:space="preserve">Curriculum Developer</w:t>
      </w:r>
      <w:r>
        <w:t xml:space="preserve"> </w:t>
      </w:r>
      <w:r>
        <w:t xml:space="preserve">in</w:t>
      </w:r>
      <w:r>
        <w:t xml:space="preserve"> </w:t>
      </w:r>
      <w:r>
        <w:rPr>
          <w:bCs/>
          <w:b/>
        </w:rPr>
        <w:t xml:space="preserve">Canada Vancouver</w:t>
      </w:r>
      <w:r>
        <w:t xml:space="preserve">, this theory supports the creation of curricula that leverage social media, online networks, and open-source resources. It is particularly useful for designing adult learning programs and professional development courses that reflect the rapid pace of technological change in the local industry.</w:t>
      </w:r>
    </w:p>
    <w:bookmarkEnd w:id="22"/>
    <w:bookmarkStart w:id="23" w:name="diversity-equity-and-inclusion"/>
    <w:p>
      <w:pPr>
        <w:pStyle w:val="Heading2"/>
      </w:pPr>
      <w:r>
        <w:t xml:space="preserve">Diversity, Equity, and Inclusion</w:t>
      </w:r>
    </w:p>
    <w:p>
      <w:pPr>
        <w:pStyle w:val="FirstParagraph"/>
      </w:pPr>
      <w:r>
        <w:t xml:space="preserve">Ladson-Billings, G. (1995). Toward a Theory of Culturally Relevant Pedagogy.</w:t>
      </w:r>
      <w:r>
        <w:t xml:space="preserve"> </w:t>
      </w:r>
      <w:r>
        <w:rPr>
          <w:iCs/>
          <w:i/>
        </w:rPr>
        <w:t xml:space="preserve">American Educational Research Journal, 32</w:t>
      </w:r>
      <w:r>
        <w:t xml:space="preserve">(3), 465-491.</w:t>
      </w:r>
    </w:p>
    <w:p>
      <w:pPr>
        <w:pStyle w:val="BodyText"/>
      </w:pPr>
      <w:r>
        <w:t xml:space="preserve">Vancouver is one of the most ethnically diverse cities in</w:t>
      </w:r>
      <w:r>
        <w:t xml:space="preserve"> </w:t>
      </w:r>
      <w:r>
        <w:rPr>
          <w:bCs/>
          <w:b/>
        </w:rPr>
        <w:t xml:space="preserve">Canada</w:t>
      </w:r>
      <w:r>
        <w:t xml:space="preserve">. This seminal work by Ladson-Billings is essential for</w:t>
      </w:r>
      <w:r>
        <w:t xml:space="preserve"> </w:t>
      </w:r>
      <w:r>
        <w:rPr>
          <w:bCs/>
          <w:b/>
        </w:rPr>
        <w:t xml:space="preserve">Curriculum Developers</w:t>
      </w:r>
      <w:r>
        <w:t xml:space="preserve"> </w:t>
      </w:r>
      <w:r>
        <w:t xml:space="preserve">aiming to create equitable learning environments. The text argues for a pedagogy that maintains cultural integrity while promoting academic success. When adapting this theory to</w:t>
      </w:r>
      <w:r>
        <w:t xml:space="preserve"> </w:t>
      </w:r>
      <w:r>
        <w:rPr>
          <w:bCs/>
          <w:b/>
        </w:rPr>
        <w:t xml:space="preserve">Canada Vancouver</w:t>
      </w:r>
      <w:r>
        <w:t xml:space="preserve">, developers must consider the specific cultural backgrounds of the city’s large Asian-Canadian, Indigenous, and immigrant populations. This resource provides the theoretical backing for designing curricula that validate students' cultural identities while preparing them for success in a globalized economy.</w:t>
      </w:r>
    </w:p>
    <w:p>
      <w:pPr>
        <w:pStyle w:val="BodyText"/>
      </w:pPr>
      <w:r>
        <w:t xml:space="preserve">Canadian Council on Learning. (2010).</w:t>
      </w:r>
      <w:r>
        <w:t xml:space="preserve"> </w:t>
      </w:r>
      <w:r>
        <w:rPr>
          <w:iCs/>
          <w:i/>
        </w:rPr>
        <w:t xml:space="preserve">Learning for Life: The Importance of Early Childhood Education</w:t>
      </w:r>
      <w:r>
        <w:t xml:space="preserve">.</w:t>
      </w:r>
    </w:p>
    <w:p>
      <w:pPr>
        <w:pStyle w:val="BodyText"/>
      </w:pPr>
      <w:r>
        <w:t xml:space="preserve">Early childhood education is a growing priority in British Columbia. This report highlights the long-term benefits of high-quality early learning programs. For a</w:t>
      </w:r>
      <w:r>
        <w:t xml:space="preserve"> </w:t>
      </w:r>
      <w:r>
        <w:rPr>
          <w:bCs/>
          <w:b/>
        </w:rPr>
        <w:t xml:space="preserve">Curriculum Developer</w:t>
      </w:r>
      <w:r>
        <w:t xml:space="preserve"> </w:t>
      </w:r>
      <w:r>
        <w:t xml:space="preserve">in</w:t>
      </w:r>
      <w:r>
        <w:t xml:space="preserve"> </w:t>
      </w:r>
      <w:r>
        <w:rPr>
          <w:bCs/>
          <w:b/>
        </w:rPr>
        <w:t xml:space="preserve">Canada Vancouver</w:t>
      </w:r>
      <w:r>
        <w:t xml:space="preserve">, this document provides evidence-based strategies for designing early years curricula that support cognitive and social-emotional development. It is particularly relevant for developers working with non-profit organizations and government agencies in Vancouver that are expanding access to early learning spaces for diverse families.</w:t>
      </w:r>
    </w:p>
    <w:bookmarkEnd w:id="23"/>
    <w:bookmarkStart w:id="24" w:name="assessment-and-evaluation"/>
    <w:p>
      <w:pPr>
        <w:pStyle w:val="Heading2"/>
      </w:pPr>
      <w:r>
        <w:t xml:space="preserve">Assessment and Evaluation</w:t>
      </w:r>
    </w:p>
    <w:p>
      <w:pPr>
        <w:pStyle w:val="FirstParagraph"/>
      </w:pPr>
      <w:r>
        <w:t xml:space="preserve">Black, P., &amp; Wiliam, D. (1998). Assessment and Classroom Learning.</w:t>
      </w:r>
      <w:r>
        <w:t xml:space="preserve"> </w:t>
      </w:r>
      <w:r>
        <w:rPr>
          <w:iCs/>
          <w:i/>
        </w:rPr>
        <w:t xml:space="preserve">Assessment in Education: Principles, Policy &amp; Practice, 5</w:t>
      </w:r>
      <w:r>
        <w:t xml:space="preserve">(1), 7-74.</w:t>
      </w:r>
    </w:p>
    <w:p>
      <w:pPr>
        <w:pStyle w:val="BodyText"/>
      </w:pPr>
      <w:r>
        <w:t xml:space="preserve">This classic text advocates for formative assessment as a tool to improve learning outcomes. In the context of the new BC curriculum, which emphasizes competency over rote memorization, this approach is vital. A</w:t>
      </w:r>
      <w:r>
        <w:t xml:space="preserve"> </w:t>
      </w:r>
      <w:r>
        <w:rPr>
          <w:bCs/>
          <w:b/>
        </w:rPr>
        <w:t xml:space="preserve">Curriculum Developer</w:t>
      </w:r>
      <w:r>
        <w:t xml:space="preserve"> </w:t>
      </w:r>
      <w:r>
        <w:t xml:space="preserve">in</w:t>
      </w:r>
      <w:r>
        <w:t xml:space="preserve"> </w:t>
      </w:r>
      <w:r>
        <w:rPr>
          <w:bCs/>
          <w:b/>
        </w:rPr>
        <w:t xml:space="preserve">Canada Vancouver</w:t>
      </w:r>
      <w:r>
        <w:t xml:space="preserve"> </w:t>
      </w:r>
      <w:r>
        <w:t xml:space="preserve">must design assessment strategies that provide ongoing feedback rather than just summative grades. This article offers practical insights into how to embed assessment into the learning process, ensuring that curriculum materials support teachers in monitoring student progress effectively in diverse classroom settings.</w:t>
      </w:r>
    </w:p>
    <w:p>
      <w:pPr>
        <w:pStyle w:val="BodyText"/>
      </w:pPr>
      <w:r>
        <w:t xml:space="preserve">Stiggins, R. J. (2005). Student-Involved Assessment for Learning.</w:t>
      </w:r>
      <w:r>
        <w:t xml:space="preserve"> </w:t>
      </w:r>
      <w:r>
        <w:rPr>
          <w:iCs/>
          <w:i/>
        </w:rPr>
        <w:t xml:space="preserve">Pearson Education</w:t>
      </w:r>
      <w:r>
        <w:t xml:space="preserve">.</w:t>
      </w:r>
    </w:p>
    <w:p>
      <w:pPr>
        <w:pStyle w:val="BodyText"/>
      </w:pPr>
      <w:r>
        <w:t xml:space="preserve">Student engagement is a key metric for success in Vancouver’s educational institutions. Stiggins’ work focuses on involving students in their own assessment processes. For a</w:t>
      </w:r>
      <w:r>
        <w:t xml:space="preserve"> </w:t>
      </w:r>
      <w:r>
        <w:rPr>
          <w:bCs/>
          <w:b/>
        </w:rPr>
        <w:t xml:space="preserve">Curriculum Developer</w:t>
      </w:r>
      <w:r>
        <w:t xml:space="preserve">, this text provides frameworks for creating rubrics and self-assessment tools that empower learners. In the competitive educational environment of</w:t>
      </w:r>
      <w:r>
        <w:t xml:space="preserve"> </w:t>
      </w:r>
      <w:r>
        <w:rPr>
          <w:bCs/>
          <w:b/>
        </w:rPr>
        <w:t xml:space="preserve">Canada Vancouver</w:t>
      </w:r>
      <w:r>
        <w:t xml:space="preserve">, fostering student autonomy through assessment is crucial. This resource helps developers create curriculum packages that not only teach content but also teach students how to evaluate their own learning, a skill highly valued in higher education and the workforce.</w:t>
      </w:r>
    </w:p>
    <w:p>
      <w:pPr>
        <w:pStyle w:val="BodyText"/>
      </w:pPr>
      <w:r>
        <w:t xml:space="preserve">Document generated for educational and professional reference purposes regarding Curriculum Development in Vancouver, Canada.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Vancouver, Canada</dc:title>
  <dc:creator/>
  <dc:language>en</dc:language>
  <cp:keywords/>
  <dcterms:created xsi:type="dcterms:W3CDTF">2026-08-07T00:52:12Z</dcterms:created>
  <dcterms:modified xsi:type="dcterms:W3CDTF">2026-08-07T00:52:12Z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