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Curriculum</w:t>
      </w:r>
      <w:r>
        <w:t xml:space="preserve"> </w:t>
      </w:r>
      <w:r>
        <w:t xml:space="preserve">Development</w:t>
      </w:r>
      <w:r>
        <w:t xml:space="preserve"> </w:t>
      </w:r>
      <w:r>
        <w:t xml:space="preserve">in</w:t>
      </w:r>
      <w:r>
        <w:t xml:space="preserve"> </w:t>
      </w:r>
      <w:r>
        <w:t xml:space="preserve">Osaka,</w:t>
      </w:r>
      <w:r>
        <w:t xml:space="preserve"> </w:t>
      </w:r>
      <w:r>
        <w:t xml:space="preserve">Japan</w:t>
      </w:r>
    </w:p>
    <w:bookmarkStart w:id="20" w:name="Xe620d8271ce5a1f9ce6a94fb65a55dc0eb6e53c"/>
    <w:p>
      <w:pPr>
        <w:pStyle w:val="Heading1"/>
      </w:pPr>
      <w:r>
        <w:t xml:space="preserve">Annotated Bibliography: The Curriculum Developer in Osaka, Japan</w:t>
      </w:r>
    </w:p>
    <w:p>
      <w:pPr>
        <w:pStyle w:val="FirstParagraph"/>
      </w:pPr>
      <w:r>
        <w:rPr>
          <w:bCs/>
          <w:b/>
        </w:rPr>
        <w:t xml:space="preserve">Subject:</w:t>
      </w:r>
      <w:r>
        <w:t xml:space="preserve"> </w:t>
      </w:r>
      <w:r>
        <w:t xml:space="preserve">Educational Planning, Pedagogical Frameworks, and Regional Implementation</w:t>
      </w:r>
    </w:p>
    <w:p>
      <w:pPr>
        <w:pStyle w:val="BodyText"/>
      </w:pPr>
      <w:r>
        <w:rPr>
          <w:bCs/>
          <w:b/>
        </w:rPr>
        <w:t xml:space="preserve">Region:</w:t>
      </w:r>
      <w:r>
        <w:t xml:space="preserve"> </w:t>
      </w:r>
      <w:r>
        <w:t xml:space="preserve">Osaka Prefecture, Japan</w:t>
      </w:r>
    </w:p>
    <w:bookmarkEnd w:id="20"/>
    <w:bookmarkStart w:id="21" w:name="introduction"/>
    <w:p>
      <w:pPr>
        <w:pStyle w:val="Heading2"/>
      </w:pPr>
      <w:r>
        <w:t xml:space="preserve">Introduction</w:t>
      </w:r>
    </w:p>
    <w:p>
      <w:pPr>
        <w:pStyle w:val="FirstParagraph"/>
      </w:pPr>
      <w:r>
        <w:t xml:space="preserve">The role of the</w:t>
      </w:r>
      <w:r>
        <w:t xml:space="preserve"> </w:t>
      </w:r>
      <w:r>
        <w:rPr>
          <w:bCs/>
          <w:b/>
        </w:rPr>
        <w:t xml:space="preserve">Curriculum Developer</w:t>
      </w:r>
      <w:r>
        <w:t xml:space="preserve"> </w:t>
      </w:r>
      <w:r>
        <w:t xml:space="preserve">within the educational landscape of</w:t>
      </w:r>
      <w:r>
        <w:t xml:space="preserve"> </w:t>
      </w:r>
      <w:r>
        <w:rPr>
          <w:bCs/>
          <w:b/>
        </w:rPr>
        <w:t xml:space="preserve">Japan</w:t>
      </w:r>
      <w:r>
        <w:t xml:space="preserve">, specifically in the dynamic urban center of</w:t>
      </w:r>
      <w:r>
        <w:t xml:space="preserve"> </w:t>
      </w:r>
      <w:r>
        <w:rPr>
          <w:bCs/>
          <w:b/>
        </w:rPr>
        <w:t xml:space="preserve">Osaka</w:t>
      </w:r>
      <w:r>
        <w:t xml:space="preserve">, is multifaceted and critical. This</w:t>
      </w:r>
      <w:r>
        <w:t xml:space="preserve"> </w:t>
      </w:r>
      <w:r>
        <w:rPr>
          <w:bCs/>
          <w:b/>
        </w:rPr>
        <w:t xml:space="preserve">Annotated Bibliography</w:t>
      </w:r>
      <w:r>
        <w:t xml:space="preserve"> </w:t>
      </w:r>
      <w:r>
        <w:t xml:space="preserve">compiles essential resources that explore the intersection of national educational mandates, local municipal requirements, and modern pedagogical innovation.</w:t>
      </w:r>
    </w:p>
    <w:p>
      <w:pPr>
        <w:pStyle w:val="BodyText"/>
      </w:pPr>
      <w:r>
        <w:t xml:space="preserve">As a major economic hub, Osaka presents unique challenges and opportunities for curriculum design. Developers must navigate the rigid structures of the Ministry of Education, Culture, Sports, Science and Technology (MEXT) while addressing the specific cultural and linguistic needs of a diverse, internationalizing population. The following entries provide a comprehensive overview of the theoretical and practical frameworks necessary for professionals operating in this specific context.</w:t>
      </w:r>
    </w:p>
    <w:bookmarkEnd w:id="21"/>
    <w:bookmarkStart w:id="30" w:name="references-and-annotations"/>
    <w:p>
      <w:pPr>
        <w:pStyle w:val="Heading2"/>
      </w:pPr>
      <w:r>
        <w:t xml:space="preserve">References and Annotations</w:t>
      </w:r>
    </w:p>
    <w:bookmarkStart w:id="22" w:name="the-national-framework-mext-guidelines"/>
    <w:p>
      <w:pPr>
        <w:pStyle w:val="Heading3"/>
      </w:pPr>
      <w:r>
        <w:t xml:space="preserve">1. The National Framework: MEXT Guidelines</w:t>
      </w:r>
    </w:p>
    <w:p>
      <w:pPr>
        <w:pStyle w:val="FirstParagraph"/>
      </w:pPr>
      <w:r>
        <w:t xml:space="preserve">Ministry of Education, Culture, Sports, Science and Technology (MEXT). (2017).</w:t>
      </w:r>
      <w:r>
        <w:t xml:space="preserve"> </w:t>
      </w:r>
      <w:r>
        <w:rPr>
          <w:iCs/>
          <w:i/>
        </w:rPr>
        <w:t xml:space="preserve">Course of Study for Elementary Schools</w:t>
      </w:r>
      <w:r>
        <w:t xml:space="preserve">. Tokyo: MEXT.</w:t>
      </w:r>
    </w:p>
    <w:p>
      <w:pPr>
        <w:pStyle w:val="BodyText"/>
      </w:pPr>
      <w:r>
        <w:t xml:space="preserve">This document serves as the foundational text for any</w:t>
      </w:r>
      <w:r>
        <w:t xml:space="preserve"> </w:t>
      </w:r>
      <w:r>
        <w:rPr>
          <w:bCs/>
          <w:b/>
        </w:rPr>
        <w:t xml:space="preserve">Curriculum Developer</w:t>
      </w:r>
      <w:r>
        <w:t xml:space="preserve"> </w:t>
      </w:r>
      <w:r>
        <w:t xml:space="preserve">working in</w:t>
      </w:r>
      <w:r>
        <w:t xml:space="preserve"> </w:t>
      </w:r>
      <w:r>
        <w:rPr>
          <w:bCs/>
          <w:b/>
        </w:rPr>
        <w:t xml:space="preserve">Japan</w:t>
      </w:r>
      <w:r>
        <w:t xml:space="preserve">. It outlines the national standards for learning objectives, content, and assessment. For a developer in</w:t>
      </w:r>
      <w:r>
        <w:t xml:space="preserve"> </w:t>
      </w:r>
      <w:r>
        <w:rPr>
          <w:bCs/>
          <w:b/>
        </w:rPr>
        <w:t xml:space="preserve">Osaka</w:t>
      </w:r>
      <w:r>
        <w:t xml:space="preserve">, understanding this text is non-negotiable. It details the shift toward "Active Learning" and the integration of ICT in classrooms. The annotation highlights that while this is a national document, local boards of education, such as the Osaka Prefectural Board of Education, use this as the baseline to create local adaptations. It is essential for ensuring that any curriculum designed in Osaka aligns with the broader Japanese educational goals.</w:t>
      </w:r>
    </w:p>
    <w:bookmarkEnd w:id="22"/>
    <w:bookmarkStart w:id="23" w:name="local-implementation-in-osaka"/>
    <w:p>
      <w:pPr>
        <w:pStyle w:val="Heading3"/>
      </w:pPr>
      <w:r>
        <w:t xml:space="preserve">2. Local Implementation in Osaka</w:t>
      </w:r>
    </w:p>
    <w:p>
      <w:pPr>
        <w:pStyle w:val="FirstParagraph"/>
      </w:pPr>
      <w:r>
        <w:t xml:space="preserve">Osaka Prefectural Board of Education. (2020).</w:t>
      </w:r>
      <w:r>
        <w:t xml:space="preserve"> </w:t>
      </w:r>
      <w:r>
        <w:rPr>
          <w:iCs/>
          <w:i/>
        </w:rPr>
        <w:t xml:space="preserve">Osaka Prefecture Elementary and Junior High School Curriculum Guidelines</w:t>
      </w:r>
      <w:r>
        <w:t xml:space="preserve">. Osaka: Osaka Prefectural Board of Education.</w:t>
      </w:r>
    </w:p>
    <w:p>
      <w:pPr>
        <w:pStyle w:val="BodyText"/>
      </w:pPr>
      <w:r>
        <w:t xml:space="preserve">This resource is specific to the region and is vital for the</w:t>
      </w:r>
      <w:r>
        <w:t xml:space="preserve"> </w:t>
      </w:r>
      <w:r>
        <w:rPr>
          <w:bCs/>
          <w:b/>
        </w:rPr>
        <w:t xml:space="preserve">Curriculum Developer</w:t>
      </w:r>
      <w:r>
        <w:t xml:space="preserve"> </w:t>
      </w:r>
      <w:r>
        <w:t xml:space="preserve">targeting schools in</w:t>
      </w:r>
      <w:r>
        <w:t xml:space="preserve"> </w:t>
      </w:r>
      <w:r>
        <w:rPr>
          <w:bCs/>
          <w:b/>
        </w:rPr>
        <w:t xml:space="preserve">Osaka</w:t>
      </w:r>
      <w:r>
        <w:t xml:space="preserve">. It translates the national MEXT guidelines into actionable local policies. The document emphasizes "Osaka-style" educational initiatives, which often focus on practical skills, community engagement, and resilience. For a developer, this text provides the specific constraints and freedoms available within the prefecture. It details how Osaka schools are encouraged to incorporate local history, geography, and industry into their curricula, offering a roadmap for creating regionally relevant educational materials.</w:t>
      </w:r>
    </w:p>
    <w:bookmarkEnd w:id="23"/>
    <w:bookmarkStart w:id="24" w:name="english-language-education-reform"/>
    <w:p>
      <w:pPr>
        <w:pStyle w:val="Heading3"/>
      </w:pPr>
      <w:r>
        <w:t xml:space="preserve">3. English Language Education Reform</w:t>
      </w:r>
    </w:p>
    <w:p>
      <w:pPr>
        <w:pStyle w:val="FirstParagraph"/>
      </w:pPr>
      <w:r>
        <w:t xml:space="preserve">Ministry of Education, Culture, Sports, Science and Technology (MEXT). (2020).</w:t>
      </w:r>
      <w:r>
        <w:t xml:space="preserve"> </w:t>
      </w:r>
      <w:r>
        <w:rPr>
          <w:iCs/>
          <w:i/>
        </w:rPr>
        <w:t xml:space="preserve">Guidelines for English Language Education in Elementary Schools</w:t>
      </w:r>
      <w:r>
        <w:t xml:space="preserve">. Tokyo: MEXT.</w:t>
      </w:r>
    </w:p>
    <w:p>
      <w:pPr>
        <w:pStyle w:val="BodyText"/>
      </w:pPr>
      <w:r>
        <w:t xml:space="preserve">As</w:t>
      </w:r>
      <w:r>
        <w:t xml:space="preserve"> </w:t>
      </w:r>
      <w:r>
        <w:rPr>
          <w:bCs/>
          <w:b/>
        </w:rPr>
        <w:t xml:space="preserve">Osaka</w:t>
      </w:r>
      <w:r>
        <w:t xml:space="preserve"> </w:t>
      </w:r>
      <w:r>
        <w:t xml:space="preserve">prepares for continued internationalization, the role of the</w:t>
      </w:r>
      <w:r>
        <w:t xml:space="preserve"> </w:t>
      </w:r>
      <w:r>
        <w:rPr>
          <w:bCs/>
          <w:b/>
        </w:rPr>
        <w:t xml:space="preserve">Curriculum Developer</w:t>
      </w:r>
      <w:r>
        <w:t xml:space="preserve"> </w:t>
      </w:r>
      <w:r>
        <w:t xml:space="preserve">in English Language Teaching (ELT) has expanded significantly. This document outlines the mandatory introduction of English as a formal subject in upper elementary grades. For developers in</w:t>
      </w:r>
      <w:r>
        <w:t xml:space="preserve"> </w:t>
      </w:r>
      <w:r>
        <w:rPr>
          <w:bCs/>
          <w:b/>
        </w:rPr>
        <w:t xml:space="preserve">Japan</w:t>
      </w:r>
      <w:r>
        <w:t xml:space="preserve">, this text is crucial for designing age-appropriate content that balances communicative competence with the cultural nuances of the Japanese classroom. It provides specific pedagogical strategies for non-native speaking environments, which is particularly relevant for Osaka's diverse school districts.</w:t>
      </w:r>
    </w:p>
    <w:bookmarkEnd w:id="24"/>
    <w:bookmarkStart w:id="25" w:name="pedagogical-theory-in-japanese-contexts"/>
    <w:p>
      <w:pPr>
        <w:pStyle w:val="Heading3"/>
      </w:pPr>
      <w:r>
        <w:t xml:space="preserve">4. Pedagogical Theory in Japanese Contexts</w:t>
      </w:r>
    </w:p>
    <w:p>
      <w:pPr>
        <w:pStyle w:val="FirstParagraph"/>
      </w:pPr>
      <w:r>
        <w:t xml:space="preserve">Tobin, J., Hsueh, Y., &amp; Karasawa, M. (2009).</w:t>
      </w:r>
      <w:r>
        <w:t xml:space="preserve"> </w:t>
      </w:r>
      <w:r>
        <w:rPr>
          <w:iCs/>
          <w:i/>
        </w:rPr>
        <w:t xml:space="preserve">Preschool in Three Cultures Revisited: China, Japan, and the United States</w:t>
      </w:r>
      <w:r>
        <w:t xml:space="preserve">. Yale University Press.</w:t>
      </w:r>
    </w:p>
    <w:p>
      <w:pPr>
        <w:pStyle w:val="BodyText"/>
      </w:pPr>
      <w:r>
        <w:t xml:space="preserve">While not specific to</w:t>
      </w:r>
      <w:r>
        <w:t xml:space="preserve"> </w:t>
      </w:r>
      <w:r>
        <w:rPr>
          <w:bCs/>
          <w:b/>
        </w:rPr>
        <w:t xml:space="preserve">Osaka</w:t>
      </w:r>
      <w:r>
        <w:t xml:space="preserve">, this seminal work provides deep insight into the cultural underpinnings of education in</w:t>
      </w:r>
      <w:r>
        <w:t xml:space="preserve"> </w:t>
      </w:r>
      <w:r>
        <w:rPr>
          <w:bCs/>
          <w:b/>
        </w:rPr>
        <w:t xml:space="preserve">Japan</w:t>
      </w:r>
      <w:r>
        <w:t xml:space="preserve">. For a</w:t>
      </w:r>
      <w:r>
        <w:t xml:space="preserve"> </w:t>
      </w:r>
      <w:r>
        <w:rPr>
          <w:bCs/>
          <w:b/>
        </w:rPr>
        <w:t xml:space="preserve">Curriculum Developer</w:t>
      </w:r>
      <w:r>
        <w:t xml:space="preserve">, understanding the cultural values of group harmony, respect, and diligence is essential. This book contrasts Japanese educational philosophies with Western ones, helping developers avoid cultural missteps. When designing curricula for Osaka, a developer must ensure that materials respect these deep-seated cultural norms while introducing modern, individualistic learning styles. It is a key reference for cultural sensitivity in curriculum design.</w:t>
      </w:r>
    </w:p>
    <w:bookmarkEnd w:id="25"/>
    <w:bookmarkStart w:id="26" w:name="ict-integration-and-digital-literacy"/>
    <w:p>
      <w:pPr>
        <w:pStyle w:val="Heading3"/>
      </w:pPr>
      <w:r>
        <w:t xml:space="preserve">5. ICT Integration and Digital Literacy</w:t>
      </w:r>
    </w:p>
    <w:p>
      <w:pPr>
        <w:pStyle w:val="FirstParagraph"/>
      </w:pPr>
      <w:r>
        <w:t xml:space="preserve">Ministry of Education, Culture, Sports, Science and Technology (MEXT). (2019).</w:t>
      </w:r>
      <w:r>
        <w:t xml:space="preserve"> </w:t>
      </w:r>
      <w:r>
        <w:rPr>
          <w:iCs/>
          <w:i/>
        </w:rPr>
        <w:t xml:space="preserve">Guidelines for the Promotion of Information and Communications Technology (ICT) in Education</w:t>
      </w:r>
      <w:r>
        <w:t xml:space="preserve">. Tokyo: MEXT.</w:t>
      </w:r>
    </w:p>
    <w:p>
      <w:pPr>
        <w:pStyle w:val="BodyText"/>
      </w:pPr>
      <w:r>
        <w:rPr>
          <w:bCs/>
          <w:b/>
        </w:rPr>
        <w:t xml:space="preserve">Osaka</w:t>
      </w:r>
      <w:r>
        <w:t xml:space="preserve"> </w:t>
      </w:r>
      <w:r>
        <w:t xml:space="preserve">is a technological hub, and its schools are at the forefront of digital integration in</w:t>
      </w:r>
      <w:r>
        <w:t xml:space="preserve"> </w:t>
      </w:r>
      <w:r>
        <w:rPr>
          <w:bCs/>
          <w:b/>
        </w:rPr>
        <w:t xml:space="preserve">Japan</w:t>
      </w:r>
      <w:r>
        <w:t xml:space="preserve">. This document outlines the national strategy for incorporating tablets, AI, and online resources into the classroom. For the</w:t>
      </w:r>
      <w:r>
        <w:t xml:space="preserve"> </w:t>
      </w:r>
      <w:r>
        <w:rPr>
          <w:bCs/>
          <w:b/>
        </w:rPr>
        <w:t xml:space="preserve">Curriculum Developer</w:t>
      </w:r>
      <w:r>
        <w:t xml:space="preserve">, this is a practical guide for creating digital-first learning experiences. It addresses infrastructure requirements, teacher training, and content standards. Developers in Osaka must use this to ensure their digital curricula are compatible with the hardware and software ecosystems prevalent in Japanese schools.</w:t>
      </w:r>
    </w:p>
    <w:bookmarkEnd w:id="26"/>
    <w:bookmarkStart w:id="27" w:name="inclusive-education-and-diversity"/>
    <w:p>
      <w:pPr>
        <w:pStyle w:val="Heading3"/>
      </w:pPr>
      <w:r>
        <w:t xml:space="preserve">6. Inclusive Education and Diversity</w:t>
      </w:r>
    </w:p>
    <w:p>
      <w:pPr>
        <w:pStyle w:val="FirstParagraph"/>
      </w:pPr>
      <w:r>
        <w:t xml:space="preserve">Japanese Ministry of Education, Culture, Sports, Science and Technology (MEXT). (2016).</w:t>
      </w:r>
      <w:r>
        <w:t xml:space="preserve"> </w:t>
      </w:r>
      <w:r>
        <w:rPr>
          <w:iCs/>
          <w:i/>
        </w:rPr>
        <w:t xml:space="preserve">Guidelines for Special Needs Education in Regular Classrooms</w:t>
      </w:r>
      <w:r>
        <w:t xml:space="preserve">. Tokyo: MEXT.</w:t>
      </w:r>
    </w:p>
    <w:p>
      <w:pPr>
        <w:pStyle w:val="BodyText"/>
      </w:pPr>
      <w:r>
        <w:t xml:space="preserve">As</w:t>
      </w:r>
      <w:r>
        <w:t xml:space="preserve"> </w:t>
      </w:r>
      <w:r>
        <w:rPr>
          <w:bCs/>
          <w:b/>
        </w:rPr>
        <w:t xml:space="preserve">Osaka</w:t>
      </w:r>
      <w:r>
        <w:t xml:space="preserve"> </w:t>
      </w:r>
      <w:r>
        <w:t xml:space="preserve">becomes more diverse, with a growing population of international residents and students with varying needs, the</w:t>
      </w:r>
      <w:r>
        <w:t xml:space="preserve"> </w:t>
      </w:r>
      <w:r>
        <w:rPr>
          <w:bCs/>
          <w:b/>
        </w:rPr>
        <w:t xml:space="preserve">Curriculum Developer</w:t>
      </w:r>
      <w:r>
        <w:t xml:space="preserve"> </w:t>
      </w:r>
      <w:r>
        <w:t xml:space="preserve">must prioritize inclusivity. This document provides the framework for "Special Needs Education" (SNE) within regular classrooms. It is essential for developers to reference this when creating materials that are accessible to students with disabilities or those for whom Japanese is a second language. It ensures that the curriculum in Osaka is equitable and compliant with national laws regarding educational access.</w:t>
      </w:r>
    </w:p>
    <w:bookmarkEnd w:id="27"/>
    <w:bookmarkStart w:id="28" w:name="assessment-and-evaluation-strategies"/>
    <w:p>
      <w:pPr>
        <w:pStyle w:val="Heading3"/>
      </w:pPr>
      <w:r>
        <w:t xml:space="preserve">7. Assessment and Evaluation Strategies</w:t>
      </w:r>
    </w:p>
    <w:p>
      <w:pPr>
        <w:pStyle w:val="FirstParagraph"/>
      </w:pPr>
      <w:r>
        <w:t xml:space="preserve">Kondo, T. (2018).</w:t>
      </w:r>
      <w:r>
        <w:t xml:space="preserve"> </w:t>
      </w:r>
      <w:r>
        <w:rPr>
          <w:iCs/>
          <w:i/>
        </w:rPr>
        <w:t xml:space="preserve">Assessment in Japanese Education: Challenges and Innovations</w:t>
      </w:r>
      <w:r>
        <w:t xml:space="preserve">. Journal of Educational Measurement in Asia, 12(3), 45-62.</w:t>
      </w:r>
    </w:p>
    <w:p>
      <w:pPr>
        <w:pStyle w:val="BodyText"/>
      </w:pPr>
      <w:r>
        <w:t xml:space="preserve">This academic article offers a critical analysis of how assessment is conducted in</w:t>
      </w:r>
      <w:r>
        <w:t xml:space="preserve"> </w:t>
      </w:r>
      <w:r>
        <w:rPr>
          <w:bCs/>
          <w:b/>
        </w:rPr>
        <w:t xml:space="preserve">Japan</w:t>
      </w:r>
      <w:r>
        <w:t xml:space="preserve">. For a</w:t>
      </w:r>
      <w:r>
        <w:t xml:space="preserve"> </w:t>
      </w:r>
      <w:r>
        <w:rPr>
          <w:bCs/>
          <w:b/>
        </w:rPr>
        <w:t xml:space="preserve">Curriculum Developer</w:t>
      </w:r>
      <w:r>
        <w:t xml:space="preserve"> </w:t>
      </w:r>
      <w:r>
        <w:t xml:space="preserve">in</w:t>
      </w:r>
      <w:r>
        <w:t xml:space="preserve"> </w:t>
      </w:r>
      <w:r>
        <w:rPr>
          <w:bCs/>
          <w:b/>
        </w:rPr>
        <w:t xml:space="preserve">Osaka</w:t>
      </w:r>
      <w:r>
        <w:t xml:space="preserve">, understanding the balance between high-stakes testing and formative assessment is crucial. The article discusses the shift away from rote memorization toward evaluating critical thinking and problem-solving skills. It provides evidence-based strategies for designing assessments that accurately measure student progress without causing undue stress, a key concern in the Japanese educational context.</w:t>
      </w:r>
    </w:p>
    <w:bookmarkEnd w:id="28"/>
    <w:bookmarkStart w:id="29" w:name="community-based-learning-in-urban-japan"/>
    <w:p>
      <w:pPr>
        <w:pStyle w:val="Heading3"/>
      </w:pPr>
      <w:r>
        <w:t xml:space="preserve">8. Community-Based Learning in Urban Japan</w:t>
      </w:r>
    </w:p>
    <w:p>
      <w:pPr>
        <w:pStyle w:val="FirstParagraph"/>
      </w:pPr>
      <w:r>
        <w:t xml:space="preserve">Osaka City University Research Institute. (2021).</w:t>
      </w:r>
      <w:r>
        <w:t xml:space="preserve"> </w:t>
      </w:r>
      <w:r>
        <w:rPr>
          <w:iCs/>
          <w:i/>
        </w:rPr>
        <w:t xml:space="preserve">Urban Education and Community Engagement in Osaka</w:t>
      </w:r>
      <w:r>
        <w:t xml:space="preserve">. Osaka: OCU Press.</w:t>
      </w:r>
    </w:p>
    <w:p>
      <w:pPr>
        <w:pStyle w:val="BodyText"/>
      </w:pPr>
      <w:r>
        <w:t xml:space="preserve">This local research report is highly relevant for the</w:t>
      </w:r>
      <w:r>
        <w:t xml:space="preserve"> </w:t>
      </w:r>
      <w:r>
        <w:rPr>
          <w:bCs/>
          <w:b/>
        </w:rPr>
        <w:t xml:space="preserve">Curriculum Developer</w:t>
      </w:r>
      <w:r>
        <w:t xml:space="preserve"> </w:t>
      </w:r>
      <w:r>
        <w:t xml:space="preserve">seeking to ground their work in the reality of</w:t>
      </w:r>
      <w:r>
        <w:t xml:space="preserve"> </w:t>
      </w:r>
      <w:r>
        <w:rPr>
          <w:bCs/>
          <w:b/>
        </w:rPr>
        <w:t xml:space="preserve">Osaka</w:t>
      </w:r>
      <w:r>
        <w:t xml:space="preserve">. It explores how schools can partner with local businesses, museums, and community centers to enhance learning. The report provides case studies of successful programs in Osaka wards, offering practical examples of how to integrate local resources into the curriculum. It is an invaluable resource for developers aiming to create experiential learning opportunities that connect students with their immediate environment.</w:t>
      </w:r>
    </w:p>
    <w:bookmarkEnd w:id="29"/>
    <w:bookmarkEnd w:id="30"/>
    <w:bookmarkStart w:id="31" w:name="conclusion"/>
    <w:p>
      <w:pPr>
        <w:pStyle w:val="Heading2"/>
      </w:pPr>
      <w:r>
        <w:t xml:space="preserve">Conclusion</w:t>
      </w:r>
    </w:p>
    <w:p>
      <w:pPr>
        <w:pStyle w:val="FirstParagraph"/>
      </w:pPr>
      <w:r>
        <w:t xml:space="preserve">This</w:t>
      </w:r>
      <w:r>
        <w:t xml:space="preserve"> </w:t>
      </w:r>
      <w:r>
        <w:rPr>
          <w:bCs/>
          <w:b/>
        </w:rPr>
        <w:t xml:space="preserve">Annotated Bibliography</w:t>
      </w:r>
      <w:r>
        <w:t xml:space="preserve"> </w:t>
      </w:r>
      <w:r>
        <w:t xml:space="preserve">demonstrates that the work of a</w:t>
      </w:r>
      <w:r>
        <w:t xml:space="preserve"> </w:t>
      </w:r>
      <w:r>
        <w:rPr>
          <w:bCs/>
          <w:b/>
        </w:rPr>
        <w:t xml:space="preserve">Curriculum Developer</w:t>
      </w:r>
      <w:r>
        <w:t xml:space="preserve"> </w:t>
      </w:r>
      <w:r>
        <w:t xml:space="preserve">in</w:t>
      </w:r>
      <w:r>
        <w:t xml:space="preserve"> </w:t>
      </w:r>
      <w:r>
        <w:rPr>
          <w:bCs/>
          <w:b/>
        </w:rPr>
        <w:t xml:space="preserve">Osaka, Japan</w:t>
      </w:r>
      <w:r>
        <w:t xml:space="preserve"> </w:t>
      </w:r>
      <w:r>
        <w:t xml:space="preserve">requires a sophisticated blend of national compliance, local cultural awareness, and pedagogical innovation. The selected resources provide a robust foundation for creating educational materials that are not only effective but also deeply resonant with the students and communities of Osaka. By adhering to these guidelines and insights, developers can contribute meaningfully to the evolution of education in one of Japan's most vibrant cities.</w:t>
      </w:r>
    </w:p>
    <w:bookmarkEnd w:id="31"/>
    <w:p>
      <w:pPr>
        <w:pStyle w:val="BodyText"/>
      </w:pPr>
      <w:r>
        <w:t xml:space="preserve">© 2023 Educational Resources for Osaka.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Curriculum Development in Osaka, Japan</dc:title>
  <dc:creator/>
  <dc:language>en</dc:language>
  <cp:keywords/>
  <dcterms:created xsi:type="dcterms:W3CDTF">2026-08-07T19:55:07Z</dcterms:created>
  <dcterms:modified xsi:type="dcterms:W3CDTF">2026-08-07T19:55:07Z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