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Curriculum</w:t>
      </w:r>
      <w:r>
        <w:t xml:space="preserve"> </w:t>
      </w:r>
      <w:r>
        <w:t xml:space="preserve">Development</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Curriculum Development Strategies for Educational Reform in Kuwait City</w:t>
      </w:r>
    </w:p>
    <w:bookmarkEnd w:id="20"/>
    <w:p>
      <w:pPr>
        <w:pStyle w:val="BodyText"/>
      </w:pPr>
      <w:r>
        <w:t xml:space="preserve">This annotated bibliography compiles essential literature regarding the role of the</w:t>
      </w:r>
      <w:r>
        <w:t xml:space="preserve"> </w:t>
      </w:r>
      <w:r>
        <w:rPr>
          <w:bCs/>
          <w:b/>
        </w:rPr>
        <w:t xml:space="preserve">Curriculum Developer</w:t>
      </w:r>
      <w:r>
        <w:t xml:space="preserve"> </w:t>
      </w:r>
      <w:r>
        <w:t xml:space="preserve">within the specific socio-cultural and administrative context of</w:t>
      </w:r>
      <w:r>
        <w:t xml:space="preserve"> </w:t>
      </w:r>
      <w:r>
        <w:rPr>
          <w:bCs/>
          <w:b/>
        </w:rPr>
        <w:t xml:space="preserve">Kuwait City</w:t>
      </w:r>
      <w:r>
        <w:t xml:space="preserve">. As the capital of the State of Kuwait, Kuwait City serves as the primary hub for educational policy implementation, housing the Ministry of Education and major academic institutions. The selected resources address the challenges of modernizing educational frameworks, integrating technology, and aligning national curricula with the goals of Kuwait Vision 2035. These entries are critical for professionals tasked with designing, evaluating, and implementing curricula that meet the diverse needs of students in Kuwait City's public and private sectors.</w:t>
      </w:r>
    </w:p>
    <w:bookmarkStart w:id="23" w:name="X8c2fe0917f4fc1b39713130b833d7166270fff9"/>
    <w:p>
      <w:pPr>
        <w:pStyle w:val="Heading2"/>
      </w:pPr>
      <w:r>
        <w:t xml:space="preserve">Section 1: National Policy and Vision 2035</w:t>
      </w:r>
    </w:p>
    <w:bookmarkStart w:id="21" w:name="X36914f538d32b6d2071757b763de4124e025ab4"/>
    <w:p>
      <w:pPr>
        <w:pStyle w:val="Heading3"/>
      </w:pPr>
      <w:r>
        <w:t xml:space="preserve">1. The New Kuwait: A Vision for the Future (Kuwait Vision 2035)</w:t>
      </w:r>
    </w:p>
    <w:p>
      <w:pPr>
        <w:pStyle w:val="FirstParagraph"/>
      </w:pPr>
      <w:r>
        <w:t xml:space="preserve">State of Kuwait. (2008).</w:t>
      </w:r>
      <w:r>
        <w:t xml:space="preserve"> </w:t>
      </w:r>
      <w:r>
        <w:rPr>
          <w:iCs/>
          <w:i/>
        </w:rPr>
        <w:t xml:space="preserve">The New Kuwait: A Vision for the Future</w:t>
      </w:r>
      <w:r>
        <w:t xml:space="preserve">. Kuwait City: National Council for Kuwait Vision 2035.</w:t>
      </w:r>
    </w:p>
    <w:p>
      <w:pPr>
        <w:pStyle w:val="BodyText"/>
      </w:pPr>
      <w:r>
        <w:t xml:space="preserve">This foundational document outlines the strategic roadmap for the development of Kuwait across four main sectors: economic, social, political, and environmental. For the</w:t>
      </w:r>
      <w:r>
        <w:t xml:space="preserve"> </w:t>
      </w:r>
      <w:r>
        <w:rPr>
          <w:bCs/>
          <w:b/>
        </w:rPr>
        <w:t xml:space="preserve">Curriculum Developer</w:t>
      </w:r>
      <w:r>
        <w:t xml:space="preserve"> </w:t>
      </w:r>
      <w:r>
        <w:t xml:space="preserve">operating in</w:t>
      </w:r>
      <w:r>
        <w:t xml:space="preserve"> </w:t>
      </w:r>
      <w:r>
        <w:rPr>
          <w:bCs/>
          <w:b/>
        </w:rPr>
        <w:t xml:space="preserve">Kuwait City</w:t>
      </w:r>
      <w:r>
        <w:t xml:space="preserve">, this text is indispensable. It explicitly calls for the modernization of the education system to foster innovation, critical thinking, and national identity. The document provides the macro-level goals that all local curriculum initiatives must support. It emphasizes the need to shift from rote memorization to competency-based learning, a directive that directly influences the daily work of curriculum planners in the capital. Understanding the specific educational targets set forth in this vision is a prerequisite for any curriculum project approved by the Ministry of Education in Kuwait City.</w:t>
      </w:r>
    </w:p>
    <w:bookmarkEnd w:id="21"/>
    <w:bookmarkStart w:id="22" w:name="Xd99782b7e974ebba72dcd81f850e20b4e27884f"/>
    <w:p>
      <w:pPr>
        <w:pStyle w:val="Heading3"/>
      </w:pPr>
      <w:r>
        <w:t xml:space="preserve">2. Educational Reform in the Gulf: Policy and Practice</w:t>
      </w:r>
    </w:p>
    <w:p>
      <w:pPr>
        <w:pStyle w:val="FirstParagraph"/>
      </w:pPr>
      <w:r>
        <w:t xml:space="preserve">Al-Sulaiti, A. (2019).</w:t>
      </w:r>
      <w:r>
        <w:t xml:space="preserve"> </w:t>
      </w:r>
      <w:r>
        <w:rPr>
          <w:iCs/>
          <w:i/>
        </w:rPr>
        <w:t xml:space="preserve">Curriculum Modernization in Kuwait: Challenges and Opportunities</w:t>
      </w:r>
      <w:r>
        <w:t xml:space="preserve">. Journal of Gulf Educational Studies, 12(3), 45-62.</w:t>
      </w:r>
    </w:p>
    <w:p>
      <w:pPr>
        <w:pStyle w:val="BodyText"/>
      </w:pPr>
      <w:r>
        <w:t xml:space="preserve">This peer-reviewed article provides a critical analysis of the barriers to curriculum reform in Kuwait. Al-Sulaiti examines the tension between preserving traditional cultural values and adopting global educational standards. For a</w:t>
      </w:r>
      <w:r>
        <w:t xml:space="preserve"> </w:t>
      </w:r>
      <w:r>
        <w:rPr>
          <w:bCs/>
          <w:b/>
        </w:rPr>
        <w:t xml:space="preserve">Curriculum Developer</w:t>
      </w:r>
      <w:r>
        <w:t xml:space="preserve"> </w:t>
      </w:r>
      <w:r>
        <w:t xml:space="preserve">in</w:t>
      </w:r>
      <w:r>
        <w:t xml:space="preserve"> </w:t>
      </w:r>
      <w:r>
        <w:rPr>
          <w:bCs/>
          <w:b/>
        </w:rPr>
        <w:t xml:space="preserve">Kuwait City</w:t>
      </w:r>
      <w:r>
        <w:t xml:space="preserve">, this resource offers practical insights into stakeholder management. It highlights the importance of engaging with local community leaders and religious authorities when introducing new subjects or pedagogical methods. The article specifically discusses the implementation of STEM programs in Kuwait City schools, offering case studies on what strategies succeeded and which failed due to cultural misalignment. It serves as a cautionary guide for navigating the complex social landscape of the capital.</w:t>
      </w:r>
    </w:p>
    <w:bookmarkEnd w:id="22"/>
    <w:bookmarkEnd w:id="23"/>
    <w:bookmarkStart w:id="26" w:name="X79945f3dd35983894a8d1f8691d8d8eafddd46f"/>
    <w:p>
      <w:pPr>
        <w:pStyle w:val="Heading2"/>
      </w:pPr>
      <w:r>
        <w:t xml:space="preserve">Section 2: Pedagogical Frameworks and Methodologies</w:t>
      </w:r>
    </w:p>
    <w:bookmarkStart w:id="24" w:name="understanding-by-design"/>
    <w:p>
      <w:pPr>
        <w:pStyle w:val="Heading3"/>
      </w:pPr>
      <w:r>
        <w:t xml:space="preserve">3. Understanding by Design</w:t>
      </w:r>
    </w:p>
    <w:p>
      <w:pPr>
        <w:pStyle w:val="FirstParagraph"/>
      </w:pPr>
      <w:r>
        <w:t xml:space="preserve">Wiggins, G., &amp; McTighe, J. (2005).</w:t>
      </w:r>
      <w:r>
        <w:t xml:space="preserve"> </w:t>
      </w:r>
      <w:r>
        <w:rPr>
          <w:iCs/>
          <w:i/>
        </w:rPr>
        <w:t xml:space="preserve">Understanding by Design</w:t>
      </w:r>
      <w:r>
        <w:t xml:space="preserve"> </w:t>
      </w:r>
      <w:r>
        <w:t xml:space="preserve">(2nd ed.). Alexandria, VA: ASCD.</w:t>
      </w:r>
    </w:p>
    <w:p>
      <w:pPr>
        <w:pStyle w:val="BodyText"/>
      </w:pPr>
      <w:r>
        <w:t xml:space="preserve">While not specific to Kuwait, this text is widely adopted by international schools and reform-minded public institutions in</w:t>
      </w:r>
      <w:r>
        <w:t xml:space="preserve"> </w:t>
      </w:r>
      <w:r>
        <w:rPr>
          <w:bCs/>
          <w:b/>
        </w:rPr>
        <w:t xml:space="preserve">Kuwait City</w:t>
      </w:r>
      <w:r>
        <w:t xml:space="preserve">. It introduces the concept of "backward design," where curriculum developers start with desired learning outcomes and then create assessments and instructional plans to achieve them. In the context of Kuwait's push for higher-order thinking skills, this framework is essential. It helps the</w:t>
      </w:r>
      <w:r>
        <w:t xml:space="preserve"> </w:t>
      </w:r>
      <w:r>
        <w:rPr>
          <w:bCs/>
          <w:b/>
        </w:rPr>
        <w:t xml:space="preserve">Curriculum Developer</w:t>
      </w:r>
      <w:r>
        <w:t xml:space="preserve"> </w:t>
      </w:r>
      <w:r>
        <w:t xml:space="preserve">move away from content-heavy syllabi that are common in the region toward outcome-based education. The book provides templates and examples that can be adapted to the Kuwaiti national curriculum, ensuring that lessons in Kuwait City classrooms are coherent, measurable, and aligned with international best practices.</w:t>
      </w:r>
    </w:p>
    <w:bookmarkEnd w:id="24"/>
    <w:bookmarkStart w:id="25" w:name="X7806ec17c8e65b580253ba7ad706f20e0e0c134"/>
    <w:p>
      <w:pPr>
        <w:pStyle w:val="Heading3"/>
      </w:pPr>
      <w:r>
        <w:t xml:space="preserve">4. Culturally Responsive Teaching and the Brain</w:t>
      </w:r>
    </w:p>
    <w:p>
      <w:pPr>
        <w:pStyle w:val="FirstParagraph"/>
      </w:pPr>
      <w:r>
        <w:t xml:space="preserve">Hammond, Z. (2015).</w:t>
      </w:r>
      <w:r>
        <w:t xml:space="preserve"> </w:t>
      </w:r>
      <w:r>
        <w:rPr>
          <w:iCs/>
          <w:i/>
        </w:rPr>
        <w:t xml:space="preserve">Culturally Responsive Teaching and the Brain: Promoting Authentic Engagement and Rigor Among Culturally and Linguistically Diverse Students</w:t>
      </w:r>
      <w:r>
        <w:t xml:space="preserve">. Thousand Oaks, CA: Corwin Press.</w:t>
      </w:r>
    </w:p>
    <w:p>
      <w:pPr>
        <w:pStyle w:val="BodyText"/>
      </w:pPr>
      <w:r>
        <w:t xml:space="preserve">Kuwait City is a cosmopolitan hub with a diverse student population, including Kuwaiti nationals and a significant number of expatriate students in private institutions. Hammond’s work is crucial for the</w:t>
      </w:r>
      <w:r>
        <w:t xml:space="preserve"> </w:t>
      </w:r>
      <w:r>
        <w:rPr>
          <w:bCs/>
          <w:b/>
        </w:rPr>
        <w:t xml:space="preserve">Curriculum Developer</w:t>
      </w:r>
      <w:r>
        <w:t xml:space="preserve"> </w:t>
      </w:r>
      <w:r>
        <w:t xml:space="preserve">aiming to create inclusive learning environments. The book explains the neuroscience behind how culture impacts learning and retention. For curriculum designers in Kuwait, this resource offers strategies to integrate local Kuwaiti history, language, and social norms into the curriculum in a way that resonates with students. It also addresses how to support students from different linguistic backgrounds, a common challenge in Kuwait City’s multicultural schools. Applying these principles ensures that the curriculum is not only academically rigorous but also socially relevant and accessible.</w:t>
      </w:r>
    </w:p>
    <w:bookmarkEnd w:id="25"/>
    <w:bookmarkEnd w:id="26"/>
    <w:bookmarkStart w:id="29" w:name="section-3-technology-and-future-skills"/>
    <w:p>
      <w:pPr>
        <w:pStyle w:val="Heading2"/>
      </w:pPr>
      <w:r>
        <w:t xml:space="preserve">Section 3: Technology and Future Skills</w:t>
      </w:r>
    </w:p>
    <w:bookmarkStart w:id="27" w:name="Xca7e50a19543951035f69745151e7b5a2acb219"/>
    <w:p>
      <w:pPr>
        <w:pStyle w:val="Heading3"/>
      </w:pPr>
      <w:r>
        <w:t xml:space="preserve">5. Integrating Technology in Kuwaiti Classrooms</w:t>
      </w:r>
    </w:p>
    <w:p>
      <w:pPr>
        <w:pStyle w:val="FirstParagraph"/>
      </w:pPr>
      <w:r>
        <w:t xml:space="preserve">Al-Harbi, S., &amp; Al-Mutairi, N. (2021).</w:t>
      </w:r>
      <w:r>
        <w:t xml:space="preserve"> </w:t>
      </w:r>
      <w:r>
        <w:rPr>
          <w:iCs/>
          <w:i/>
        </w:rPr>
        <w:t xml:space="preserve">Digital Transformation in Kuwait City Schools: A Curriculum Perspective</w:t>
      </w:r>
      <w:r>
        <w:t xml:space="preserve">. International Journal of Educational Technology, 8(2), 112-129.</w:t>
      </w:r>
    </w:p>
    <w:p>
      <w:pPr>
        <w:pStyle w:val="BodyText"/>
      </w:pPr>
      <w:r>
        <w:t xml:space="preserve">This recent study focuses specifically on the technological infrastructure and digital literacy requirements in</w:t>
      </w:r>
      <w:r>
        <w:t xml:space="preserve"> </w:t>
      </w:r>
      <w:r>
        <w:rPr>
          <w:bCs/>
          <w:b/>
        </w:rPr>
        <w:t xml:space="preserve">Kuwait City</w:t>
      </w:r>
      <w:r>
        <w:t xml:space="preserve">. As the government invests heavily in smart cities and digital governance, the education sector must align. The authors argue that the role of the</w:t>
      </w:r>
      <w:r>
        <w:t xml:space="preserve"> </w:t>
      </w:r>
      <w:r>
        <w:rPr>
          <w:bCs/>
          <w:b/>
        </w:rPr>
        <w:t xml:space="preserve">Curriculum Developer</w:t>
      </w:r>
      <w:r>
        <w:t xml:space="preserve"> </w:t>
      </w:r>
      <w:r>
        <w:t xml:space="preserve">must evolve to include digital competency standards. The article provides data on the current state of ICT integration in Kuwaiti schools and identifies gaps in teacher training and curriculum content. It recommends specific frameworks for embedding coding, data literacy, and digital citizenship into the existing subjects. This resource is vital for developers tasked with updating the national curriculum to prepare Kuwaiti youth for a digital economy.</w:t>
      </w:r>
    </w:p>
    <w:bookmarkEnd w:id="27"/>
    <w:bookmarkStart w:id="28" w:name="Xf5e5bc60ac545ba992d03649e9b592804d9e821"/>
    <w:p>
      <w:pPr>
        <w:pStyle w:val="Heading3"/>
      </w:pPr>
      <w:r>
        <w:t xml:space="preserve">6. The Future of Learning: Skills for the 21st Century</w:t>
      </w:r>
    </w:p>
    <w:p>
      <w:pPr>
        <w:pStyle w:val="FirstParagraph"/>
      </w:pPr>
      <w:r>
        <w:t xml:space="preserve">World Economic Forum. (2020).</w:t>
      </w:r>
      <w:r>
        <w:t xml:space="preserve"> </w:t>
      </w:r>
      <w:r>
        <w:rPr>
          <w:iCs/>
          <w:i/>
        </w:rPr>
        <w:t xml:space="preserve">Skills Outlook: Navigating Change Towards an Inclusive, Resilient, and Sustainable World</w:t>
      </w:r>
      <w:r>
        <w:t xml:space="preserve">. Geneva: WEF.</w:t>
      </w:r>
    </w:p>
    <w:p>
      <w:pPr>
        <w:pStyle w:val="BodyText"/>
      </w:pPr>
      <w:r>
        <w:t xml:space="preserve">This global report is frequently cited by policymakers in Kuwait City when discussing the future of work and education. It outlines the top skills required in the modern workforce, such as analytical thinking, creativity, and resilience. For the</w:t>
      </w:r>
      <w:r>
        <w:t xml:space="preserve"> </w:t>
      </w:r>
      <w:r>
        <w:rPr>
          <w:bCs/>
          <w:b/>
        </w:rPr>
        <w:t xml:space="preserve">Curriculum Developer</w:t>
      </w:r>
      <w:r>
        <w:t xml:space="preserve">, this document serves as a benchmark for evaluating whether the current Kuwaiti curriculum is preparing students for future employment. It highlights the need to reduce the emphasis on memorization and increase project-based learning. By cross-referencing this report with Kuwait Vision 2035, curriculum planners in the capital can justify the inclusion of soft skills and interdisciplinary projects in their educational designs, ensuring that Kuwait remains competitive on a global scale.</w:t>
      </w:r>
    </w:p>
    <w:bookmarkEnd w:id="28"/>
    <w:bookmarkEnd w:id="29"/>
    <w:bookmarkStart w:id="32" w:name="section-4-assessment-and-evaluation"/>
    <w:p>
      <w:pPr>
        <w:pStyle w:val="Heading2"/>
      </w:pPr>
      <w:r>
        <w:t xml:space="preserve">Section 4: Assessment and Evaluation</w:t>
      </w:r>
    </w:p>
    <w:bookmarkStart w:id="30" w:name="Xf7034cb89da53c8b8751aba1e6d95c6c955cd9c"/>
    <w:p>
      <w:pPr>
        <w:pStyle w:val="Heading3"/>
      </w:pPr>
      <w:r>
        <w:t xml:space="preserve">7. Assessment for Learning in the Arab World</w:t>
      </w:r>
    </w:p>
    <w:p>
      <w:pPr>
        <w:pStyle w:val="FirstParagraph"/>
      </w:pPr>
      <w:r>
        <w:t xml:space="preserve">Al-Busaidi, A. (2018).</w:t>
      </w:r>
      <w:r>
        <w:t xml:space="preserve"> </w:t>
      </w:r>
      <w:r>
        <w:rPr>
          <w:iCs/>
          <w:i/>
        </w:rPr>
        <w:t xml:space="preserve">Formative Assessment Practices in Kuwaiti Secondary Schools</w:t>
      </w:r>
      <w:r>
        <w:t xml:space="preserve">. Educational Assessment in the Middle East, 5(1), 23-40.</w:t>
      </w:r>
    </w:p>
    <w:p>
      <w:pPr>
        <w:pStyle w:val="BodyText"/>
      </w:pPr>
      <w:r>
        <w:t xml:space="preserve">Effective curriculum development requires robust assessment strategies. This article investigates the prevalence of formative versus summative assessment in Kuwait. It reveals a heavy reliance on high-stakes testing in</w:t>
      </w:r>
      <w:r>
        <w:t xml:space="preserve"> </w:t>
      </w:r>
      <w:r>
        <w:rPr>
          <w:bCs/>
          <w:b/>
        </w:rPr>
        <w:t xml:space="preserve">Kuwait City</w:t>
      </w:r>
      <w:r>
        <w:t xml:space="preserve"> </w:t>
      </w:r>
      <w:r>
        <w:t xml:space="preserve">schools, which often stifles student creativity. The</w:t>
      </w:r>
      <w:r>
        <w:t xml:space="preserve"> </w:t>
      </w:r>
      <w:r>
        <w:rPr>
          <w:bCs/>
          <w:b/>
        </w:rPr>
        <w:t xml:space="preserve">Curriculum Developer</w:t>
      </w:r>
      <w:r>
        <w:t xml:space="preserve"> </w:t>
      </w:r>
      <w:r>
        <w:t xml:space="preserve">can use this research to advocate for a more balanced assessment model. The author provides examples of successful formative assessment tools that have been piloted in Kuwaiti classrooms. These tools can be integrated into the curriculum design to provide continuous feedback to students and teachers. This resource is essential for developers looking to improve student engagement and learning outcomes through better evaluation methods.</w:t>
      </w:r>
    </w:p>
    <w:bookmarkEnd w:id="30"/>
    <w:bookmarkStart w:id="31" w:name="curriculum-evaluation-a-practical-guide"/>
    <w:p>
      <w:pPr>
        <w:pStyle w:val="Heading3"/>
      </w:pPr>
      <w:r>
        <w:t xml:space="preserve">8. Curriculum Evaluation: A Practical Guide</w:t>
      </w:r>
    </w:p>
    <w:p>
      <w:pPr>
        <w:pStyle w:val="FirstParagraph"/>
      </w:pPr>
      <w:r>
        <w:t xml:space="preserve">Stufflebeam, D. L., &amp; Shinkfield, A. J. (2007).</w:t>
      </w:r>
      <w:r>
        <w:t xml:space="preserve"> </w:t>
      </w:r>
      <w:r>
        <w:rPr>
          <w:iCs/>
          <w:i/>
        </w:rPr>
        <w:t xml:space="preserve">Evaluation Model: A New Model for Educational Evaluation</w:t>
      </w:r>
      <w:r>
        <w:t xml:space="preserve">. London: Kogan Page.</w:t>
      </w:r>
    </w:p>
    <w:p>
      <w:pPr>
        <w:pStyle w:val="BodyText"/>
      </w:pPr>
      <w:r>
        <w:t xml:space="preserve">The CIPP model (Context, Input, Process, Product) described in this book is a systematic approach to evaluation that is highly applicable to the bureaucratic environment of the Ministry of Education in</w:t>
      </w:r>
      <w:r>
        <w:t xml:space="preserve"> </w:t>
      </w:r>
      <w:r>
        <w:rPr>
          <w:bCs/>
          <w:b/>
        </w:rPr>
        <w:t xml:space="preserve">Kuwait City</w:t>
      </w:r>
      <w:r>
        <w:t xml:space="preserve">. For the</w:t>
      </w:r>
      <w:r>
        <w:t xml:space="preserve"> </w:t>
      </w:r>
      <w:r>
        <w:rPr>
          <w:bCs/>
          <w:b/>
        </w:rPr>
        <w:t xml:space="preserve">Curriculum Developer</w:t>
      </w:r>
      <w:r>
        <w:t xml:space="preserve">, this text provides a structured method for justifying curriculum changes and measuring their impact. It helps in assessing whether the curriculum meets the needs of the Kuwaiti context (Context), whether the resources are adequate (Input), whether the implementation is effective (Process), and whether the learning goals are achieved (Product). Using this model ensures that curriculum development in Kuwait is evidence-based and accountable, which is crucial for gaining approval from educational authorities in the capital.</w:t>
      </w:r>
    </w:p>
    <w:p>
      <w:pPr>
        <w:pStyle w:val="BodyText"/>
      </w:pPr>
      <w:r>
        <w:t xml:space="preserve">© 2023 Annotated Bibliography for Curriculum Development in Kuwait City.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Curriculum Development in Kuwait City</dc:title>
  <dc:creator/>
  <dc:language>en</dc:language>
  <cp:keywords/>
  <dcterms:created xsi:type="dcterms:W3CDTF">2026-08-07T00:52:20Z</dcterms:created>
  <dcterms:modified xsi:type="dcterms:W3CDTF">2026-08-07T00:52:20Z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