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Curriculum Development and Implementation in Manila, Philippines</w:t>
      </w:r>
    </w:p>
    <w:bookmarkEnd w:id="20"/>
    <w:p>
      <w:pPr>
        <w:pStyle w:val="BodyText"/>
      </w:pPr>
      <w:r>
        <w:t xml:space="preserve">The role of the</w:t>
      </w:r>
      <w:r>
        <w:t xml:space="preserve"> </w:t>
      </w:r>
      <w:r>
        <w:rPr>
          <w:bCs/>
          <w:b/>
        </w:rPr>
        <w:t xml:space="preserve">Curriculum Developer</w:t>
      </w:r>
      <w:r>
        <w:t xml:space="preserve"> </w:t>
      </w:r>
      <w:r>
        <w:t xml:space="preserve">in the Philippines is pivotal, particularly within the dynamic educational landscape of</w:t>
      </w:r>
      <w:r>
        <w:t xml:space="preserve"> </w:t>
      </w:r>
      <w:r>
        <w:rPr>
          <w:bCs/>
          <w:b/>
        </w:rPr>
        <w:t xml:space="preserve">Manila</w:t>
      </w:r>
      <w:r>
        <w:t xml:space="preserve">. As the capital region, Manila serves as the testing ground for national educational reforms, including the K-12 Basic Education Curriculum. This annotated bibliography compiles essential literature regarding the theoretical frameworks, policy mandates, and practical challenges faced by curriculum developers in the Philippines. The selected resources provide a comprehensive overview of how educational content is designed, localized, and implemented to meet the needs of Filipino learners in an urban setting.</w:t>
      </w:r>
    </w:p>
    <w:bookmarkStart w:id="23" w:name="X3c1cddba7d5cce67a17666acb9f86e855bc5dc4"/>
    <w:p>
      <w:pPr>
        <w:pStyle w:val="Heading2"/>
      </w:pPr>
      <w:r>
        <w:t xml:space="preserve">Government Policies and National Frameworks</w:t>
      </w:r>
    </w:p>
    <w:bookmarkStart w:id="21" w:name="X5e6fac7e91e416597acdb5df6dfe554ad1f16f6"/>
    <w:p>
      <w:pPr>
        <w:pStyle w:val="Heading3"/>
      </w:pPr>
      <w:r>
        <w:t xml:space="preserve">Republic Act No. 10533 (Enhanced Basic Education Act of 2013)</w:t>
      </w:r>
    </w:p>
    <w:p>
      <w:pPr>
        <w:pStyle w:val="FirstParagraph"/>
      </w:pPr>
      <w:r>
        <w:t xml:space="preserve">Republic of the Philippines. (2013).</w:t>
      </w:r>
      <w:r>
        <w:t xml:space="preserve"> </w:t>
      </w:r>
      <w:r>
        <w:rPr>
          <w:iCs/>
          <w:i/>
        </w:rPr>
        <w:t xml:space="preserve">Republic Act No. 10533: An Act Providing for a Philippine K to 12 Basic Education Curriculum</w:t>
      </w:r>
      <w:r>
        <w:t xml:space="preserve">. Official Gazette of the Republic of the Philippines.</w:t>
      </w:r>
    </w:p>
    <w:p>
      <w:pPr>
        <w:pStyle w:val="BodyText"/>
      </w:pPr>
      <w:r>
        <w:t xml:space="preserve">This primary legislation is the cornerstone for any</w:t>
      </w:r>
      <w:r>
        <w:t xml:space="preserve"> </w:t>
      </w:r>
      <w:r>
        <w:rPr>
          <w:bCs/>
          <w:b/>
        </w:rPr>
        <w:t xml:space="preserve">Curriculum Developer</w:t>
      </w:r>
      <w:r>
        <w:t xml:space="preserve"> </w:t>
      </w:r>
      <w:r>
        <w:t xml:space="preserve">operating in the</w:t>
      </w:r>
      <w:r>
        <w:t xml:space="preserve"> </w:t>
      </w:r>
      <w:r>
        <w:rPr>
          <w:bCs/>
          <w:b/>
        </w:rPr>
        <w:t xml:space="preserve">Philippines</w:t>
      </w:r>
      <w:r>
        <w:t xml:space="preserve">. It mandates the transition from a 10-year basic education system to a 13-year K-12 program. For developers in</w:t>
      </w:r>
      <w:r>
        <w:t xml:space="preserve"> </w:t>
      </w:r>
      <w:r>
        <w:rPr>
          <w:bCs/>
          <w:b/>
        </w:rPr>
        <w:t xml:space="preserve">Manila</w:t>
      </w:r>
      <w:r>
        <w:t xml:space="preserve">, this law provides the legal basis for integrating senior high school tracks (Academic, TVL, Sports, and Arts) into the curriculum. The document outlines the competencies required for graduates to be globally competitive. It is essential reading for understanding the statutory requirements that dictate curriculum scope, sequence, and learning outcomes in public and private schools across Metro Manila.</w:t>
      </w:r>
    </w:p>
    <w:bookmarkEnd w:id="21"/>
    <w:bookmarkStart w:id="22" w:name="X066b2f4e341291f4435d2573a748cb36e133ebd"/>
    <w:p>
      <w:pPr>
        <w:pStyle w:val="Heading3"/>
      </w:pPr>
      <w:r>
        <w:t xml:space="preserve">DepEd Order No. 42, s. 2016 (Policy Guidelines on the Implementation of the K to 12 Curriculum)</w:t>
      </w:r>
    </w:p>
    <w:p>
      <w:pPr>
        <w:pStyle w:val="FirstParagraph"/>
      </w:pPr>
      <w:r>
        <w:t xml:space="preserve">Department of Education (DepEd). (2016).</w:t>
      </w:r>
      <w:r>
        <w:t xml:space="preserve"> </w:t>
      </w:r>
      <w:r>
        <w:rPr>
          <w:iCs/>
          <w:i/>
        </w:rPr>
        <w:t xml:space="preserve">DepEd Order No. 42, s. 2016: Policy Guidelines on the Implementation of the K to 12 Curriculum</w:t>
      </w:r>
      <w:r>
        <w:t xml:space="preserve">. Manila: DepEd Central Office.</w:t>
      </w:r>
    </w:p>
    <w:p>
      <w:pPr>
        <w:pStyle w:val="BodyText"/>
      </w:pPr>
      <w:r>
        <w:t xml:space="preserve">This order provides the operational framework for the K-12 curriculum. It is critical for</w:t>
      </w:r>
      <w:r>
        <w:t xml:space="preserve"> </w:t>
      </w:r>
      <w:r>
        <w:rPr>
          <w:bCs/>
          <w:b/>
        </w:rPr>
        <w:t xml:space="preserve">Curriculum Developers</w:t>
      </w:r>
      <w:r>
        <w:t xml:space="preserve"> </w:t>
      </w:r>
      <w:r>
        <w:t xml:space="preserve">in</w:t>
      </w:r>
      <w:r>
        <w:t xml:space="preserve"> </w:t>
      </w:r>
      <w:r>
        <w:rPr>
          <w:bCs/>
          <w:b/>
        </w:rPr>
        <w:t xml:space="preserve">Manila</w:t>
      </w:r>
      <w:r>
        <w:t xml:space="preserve"> </w:t>
      </w:r>
      <w:r>
        <w:t xml:space="preserve">because it details the specific learning competencies (SLCs) and the curriculum guide structure. The document emphasizes the importance of contextualization and localization, urging developers to adapt national standards to local realities. For Manila-based developers, this means incorporating urban issues, local history, and diverse cultural contexts into the curriculum to ensure relevance for students in the National Capital Region (NCR).</w:t>
      </w:r>
    </w:p>
    <w:bookmarkEnd w:id="22"/>
    <w:bookmarkEnd w:id="23"/>
    <w:bookmarkStart w:id="26" w:name="theoretical-foundations-and-localization"/>
    <w:p>
      <w:pPr>
        <w:pStyle w:val="Heading2"/>
      </w:pPr>
      <w:r>
        <w:t xml:space="preserve">Theoretical Foundations and Localization</w:t>
      </w:r>
    </w:p>
    <w:bookmarkStart w:id="24" w:name="X69557c3aa754456264930214d4e2c521dddf5e3"/>
    <w:p>
      <w:pPr>
        <w:pStyle w:val="Heading3"/>
      </w:pPr>
      <w:r>
        <w:t xml:space="preserve">Ornstein, A. C., &amp; Hunkins, F. P. (2018). Curriculum: Foundations, Principles, and Issues (7th ed.). Pearson.</w:t>
      </w:r>
    </w:p>
    <w:p>
      <w:pPr>
        <w:pStyle w:val="FirstParagraph"/>
      </w:pPr>
      <w:r>
        <w:t xml:space="preserve">Ornstein, A. C., &amp; Hunkins, F. P. (2018).</w:t>
      </w:r>
      <w:r>
        <w:t xml:space="preserve"> </w:t>
      </w:r>
      <w:r>
        <w:rPr>
          <w:iCs/>
          <w:i/>
        </w:rPr>
        <w:t xml:space="preserve">Curriculum: Foundations, Principles, and Issues</w:t>
      </w:r>
      <w:r>
        <w:t xml:space="preserve"> </w:t>
      </w:r>
      <w:r>
        <w:t xml:space="preserve">(7th ed.). Pearson Education.</w:t>
      </w:r>
    </w:p>
    <w:p>
      <w:pPr>
        <w:pStyle w:val="BodyText"/>
      </w:pPr>
      <w:r>
        <w:t xml:space="preserve">While a global text, this book is widely used in teacher education programs in the</w:t>
      </w:r>
      <w:r>
        <w:t xml:space="preserve"> </w:t>
      </w:r>
      <w:r>
        <w:rPr>
          <w:bCs/>
          <w:b/>
        </w:rPr>
        <w:t xml:space="preserve">Philippines</w:t>
      </w:r>
      <w:r>
        <w:t xml:space="preserve">, including those in</w:t>
      </w:r>
      <w:r>
        <w:t xml:space="preserve"> </w:t>
      </w:r>
      <w:r>
        <w:rPr>
          <w:bCs/>
          <w:b/>
        </w:rPr>
        <w:t xml:space="preserve">Manila</w:t>
      </w:r>
      <w:r>
        <w:t xml:space="preserve">. It offers robust theoretical models for curriculum design, such as the Tyler Rationale and the Taba Model. For a</w:t>
      </w:r>
      <w:r>
        <w:t xml:space="preserve"> </w:t>
      </w:r>
      <w:r>
        <w:rPr>
          <w:bCs/>
          <w:b/>
        </w:rPr>
        <w:t xml:space="preserve">Curriculum Developer</w:t>
      </w:r>
      <w:r>
        <w:t xml:space="preserve"> </w:t>
      </w:r>
      <w:r>
        <w:t xml:space="preserve">in the Philippines, this text provides the academic vocabulary and structural logic necessary to design coherent curricula. It helps developers navigate the balance between subject-centered and learner-centered approaches, which is a frequent debate in Philippine educational reform.</w:t>
      </w:r>
    </w:p>
    <w:bookmarkEnd w:id="24"/>
    <w:bookmarkStart w:id="25" w:name="Xb9fc0a1b46dd85d549ea53d524916d47c0db885"/>
    <w:p>
      <w:pPr>
        <w:pStyle w:val="Heading3"/>
      </w:pPr>
      <w:r>
        <w:t xml:space="preserve">Reyes, G. L., &amp; Santos, M. (2019). Contextualizing the K-12 Curriculum in Urban Settings. Philippine Journal of Education.</w:t>
      </w:r>
    </w:p>
    <w:p>
      <w:pPr>
        <w:pStyle w:val="FirstParagraph"/>
      </w:pPr>
      <w:r>
        <w:t xml:space="preserve">Reyes, G. L., &amp; Santos, M. (2019).</w:t>
      </w:r>
      <w:r>
        <w:t xml:space="preserve"> </w:t>
      </w:r>
      <w:r>
        <w:rPr>
          <w:iCs/>
          <w:i/>
        </w:rPr>
        <w:t xml:space="preserve">Contextualizing the K-12 Curriculum in Urban Settings</w:t>
      </w:r>
      <w:r>
        <w:t xml:space="preserve">. Philippine Journal of Education, 45(2), 112-130.</w:t>
      </w:r>
    </w:p>
    <w:p>
      <w:pPr>
        <w:pStyle w:val="BodyText"/>
      </w:pPr>
      <w:r>
        <w:t xml:space="preserve">This journal article is highly relevant for</w:t>
      </w:r>
      <w:r>
        <w:t xml:space="preserve"> </w:t>
      </w:r>
      <w:r>
        <w:rPr>
          <w:bCs/>
          <w:b/>
        </w:rPr>
        <w:t xml:space="preserve">Curriculum Developers</w:t>
      </w:r>
      <w:r>
        <w:t xml:space="preserve"> </w:t>
      </w:r>
      <w:r>
        <w:t xml:space="preserve">working specifically in</w:t>
      </w:r>
      <w:r>
        <w:t xml:space="preserve"> </w:t>
      </w:r>
      <w:r>
        <w:rPr>
          <w:bCs/>
          <w:b/>
        </w:rPr>
        <w:t xml:space="preserve">Manila</w:t>
      </w:r>
      <w:r>
        <w:t xml:space="preserve">. It discusses the challenges of applying a national curriculum to the diverse socio-economic environments of Metro Manila. The authors argue for a curriculum that addresses urban poverty, digital literacy, and multiculturalism. The study provides empirical data on how localized curriculum modules improve student engagement in Manila public schools. It serves as a practical guide for developers aiming to make the K-12 curriculum more responsive to the unique needs of Filipino urban youth.</w:t>
      </w:r>
    </w:p>
    <w:bookmarkEnd w:id="25"/>
    <w:bookmarkEnd w:id="26"/>
    <w:bookmarkStart w:id="29" w:name="assessment-and-competency-based-learning"/>
    <w:p>
      <w:pPr>
        <w:pStyle w:val="Heading2"/>
      </w:pPr>
      <w:r>
        <w:t xml:space="preserve">Assessment and Competency-Based Learning</w:t>
      </w:r>
    </w:p>
    <w:bookmarkStart w:id="27" w:name="X14927fa330abd2ee2dcd52d38da9f79752b6bc7"/>
    <w:p>
      <w:pPr>
        <w:pStyle w:val="Heading3"/>
      </w:pPr>
      <w:r>
        <w:t xml:space="preserve">DepEd Order No. 8, s. 2015 (Policy Guidelines on Classroom Assessment for the K to 12 Basic Education Program)</w:t>
      </w:r>
    </w:p>
    <w:p>
      <w:pPr>
        <w:pStyle w:val="FirstParagraph"/>
      </w:pPr>
      <w:r>
        <w:t xml:space="preserve">Department of Education (DepEd). (2015).</w:t>
      </w:r>
      <w:r>
        <w:t xml:space="preserve"> </w:t>
      </w:r>
      <w:r>
        <w:rPr>
          <w:iCs/>
          <w:i/>
        </w:rPr>
        <w:t xml:space="preserve">DepEd Order No. 8, s. 2015: Policy Guidelines on Classroom Assessment for the K to 12 Basic Education Program</w:t>
      </w:r>
      <w:r>
        <w:t xml:space="preserve">. Manila: DepEd Central Office.</w:t>
      </w:r>
    </w:p>
    <w:p>
      <w:pPr>
        <w:pStyle w:val="BodyText"/>
      </w:pPr>
      <w:r>
        <w:t xml:space="preserve">Assessment is an integral part of curriculum development. This DepEd order outlines the shift from norm-referenced to criterion-referenced assessment in the</w:t>
      </w:r>
      <w:r>
        <w:t xml:space="preserve"> </w:t>
      </w:r>
      <w:r>
        <w:rPr>
          <w:bCs/>
          <w:b/>
        </w:rPr>
        <w:t xml:space="preserve">Philippines</w:t>
      </w:r>
      <w:r>
        <w:t xml:space="preserve">. For a</w:t>
      </w:r>
      <w:r>
        <w:t xml:space="preserve"> </w:t>
      </w:r>
      <w:r>
        <w:rPr>
          <w:bCs/>
          <w:b/>
        </w:rPr>
        <w:t xml:space="preserve">Curriculum Developer</w:t>
      </w:r>
      <w:r>
        <w:t xml:space="preserve"> </w:t>
      </w:r>
      <w:r>
        <w:t xml:space="preserve">in</w:t>
      </w:r>
      <w:r>
        <w:t xml:space="preserve"> </w:t>
      </w:r>
      <w:r>
        <w:rPr>
          <w:bCs/>
          <w:b/>
        </w:rPr>
        <w:t xml:space="preserve">Manila</w:t>
      </w:r>
      <w:r>
        <w:t xml:space="preserve">, this document is indispensable for aligning learning competencies with assessment tools. It mandates the use of formative and summative assessments that reflect real-world performance. Understanding these guidelines ensures that the curriculum developed is not only theoretically sound but also practically assessable within the constraints of Manila classrooms.</w:t>
      </w:r>
    </w:p>
    <w:bookmarkEnd w:id="27"/>
    <w:bookmarkStart w:id="28" w:name="Xd966e4b77cc8f2eb832e521c2266504000652eb"/>
    <w:p>
      <w:pPr>
        <w:pStyle w:val="Heading3"/>
      </w:pPr>
      <w:r>
        <w:t xml:space="preserve">Biggs, J., &amp; Tang, C. (2011). Teaching for Quality Learning at University (4th ed.). Open University Press.</w:t>
      </w:r>
    </w:p>
    <w:p>
      <w:pPr>
        <w:pStyle w:val="FirstParagraph"/>
      </w:pPr>
      <w:r>
        <w:t xml:space="preserve">Biggs, J., &amp; Tang, C. (2011).</w:t>
      </w:r>
      <w:r>
        <w:t xml:space="preserve"> </w:t>
      </w:r>
      <w:r>
        <w:rPr>
          <w:iCs/>
          <w:i/>
        </w:rPr>
        <w:t xml:space="preserve">Teaching for Quality Learning at University</w:t>
      </w:r>
      <w:r>
        <w:t xml:space="preserve"> </w:t>
      </w:r>
      <w:r>
        <w:t xml:space="preserve">(4th ed.). Open University Press.</w:t>
      </w:r>
    </w:p>
    <w:p>
      <w:pPr>
        <w:pStyle w:val="BodyText"/>
      </w:pPr>
      <w:r>
        <w:t xml:space="preserve">Although focused on higher education, this text is crucial for</w:t>
      </w:r>
      <w:r>
        <w:t xml:space="preserve"> </w:t>
      </w:r>
      <w:r>
        <w:rPr>
          <w:bCs/>
          <w:b/>
        </w:rPr>
        <w:t xml:space="preserve">Curriculum Developers</w:t>
      </w:r>
      <w:r>
        <w:t xml:space="preserve"> </w:t>
      </w:r>
      <w:r>
        <w:t xml:space="preserve">in the</w:t>
      </w:r>
      <w:r>
        <w:t xml:space="preserve"> </w:t>
      </w:r>
      <w:r>
        <w:rPr>
          <w:bCs/>
          <w:b/>
        </w:rPr>
        <w:t xml:space="preserve">Philippines</w:t>
      </w:r>
      <w:r>
        <w:t xml:space="preserve"> </w:t>
      </w:r>
      <w:r>
        <w:t xml:space="preserve">who are designing Senior High School curricula that prepare students for tertiary education. The concept of "Constructive Alignment" is particularly relevant for ensuring that learning outcomes, teaching activities, and assessment tasks are coherent. In the context of</w:t>
      </w:r>
      <w:r>
        <w:t xml:space="preserve"> </w:t>
      </w:r>
      <w:r>
        <w:rPr>
          <w:bCs/>
          <w:b/>
        </w:rPr>
        <w:t xml:space="preserve">Manila</w:t>
      </w:r>
      <w:r>
        <w:t xml:space="preserve">, where students often transition to competitive universities, this framework helps developers create curricula that foster deep learning rather than rote memorization, aligning with the goals of the Philippine Qualifications Framework (PQF).</w:t>
      </w:r>
    </w:p>
    <w:bookmarkEnd w:id="28"/>
    <w:bookmarkEnd w:id="29"/>
    <w:bookmarkStart w:id="32" w:name="technology-and-future-directions"/>
    <w:p>
      <w:pPr>
        <w:pStyle w:val="Heading2"/>
      </w:pPr>
      <w:r>
        <w:t xml:space="preserve">Technology and Future Directions</w:t>
      </w:r>
    </w:p>
    <w:bookmarkStart w:id="30" w:name="X47274523b7d3342c95c7c4e2e56f0e3619da220"/>
    <w:p>
      <w:pPr>
        <w:pStyle w:val="Heading3"/>
      </w:pPr>
      <w:r>
        <w:t xml:space="preserve">DepEd Order No. 45, s. 2019 (Policy Guidelines on the Implementation of the K to 12 Basic Education Program in the Context of the New Normal)</w:t>
      </w:r>
    </w:p>
    <w:p>
      <w:pPr>
        <w:pStyle w:val="FirstParagraph"/>
      </w:pPr>
      <w:r>
        <w:t xml:space="preserve">Department of Education (DepEd). (2019).</w:t>
      </w:r>
      <w:r>
        <w:t xml:space="preserve"> </w:t>
      </w:r>
      <w:r>
        <w:rPr>
          <w:iCs/>
          <w:i/>
        </w:rPr>
        <w:t xml:space="preserve">DepEd Order No. 45, s. 2019: Policy Guidelines on the Implementation of the K to 12 Basic Education Program in the Context of the New Normal</w:t>
      </w:r>
      <w:r>
        <w:t xml:space="preserve">. Manila: DepEd Central Office.</w:t>
      </w:r>
    </w:p>
    <w:p>
      <w:pPr>
        <w:pStyle w:val="BodyText"/>
      </w:pPr>
      <w:r>
        <w:t xml:space="preserve">This document reflects the rapid evolution of curriculum delivery in the</w:t>
      </w:r>
      <w:r>
        <w:t xml:space="preserve"> </w:t>
      </w:r>
      <w:r>
        <w:rPr>
          <w:bCs/>
          <w:b/>
        </w:rPr>
        <w:t xml:space="preserve">Philippines</w:t>
      </w:r>
      <w:r>
        <w:t xml:space="preserve"> </w:t>
      </w:r>
      <w:r>
        <w:t xml:space="preserve">due to the pandemic. For</w:t>
      </w:r>
      <w:r>
        <w:t xml:space="preserve"> </w:t>
      </w:r>
      <w:r>
        <w:rPr>
          <w:bCs/>
          <w:b/>
        </w:rPr>
        <w:t xml:space="preserve">Curriculum Developers</w:t>
      </w:r>
      <w:r>
        <w:t xml:space="preserve"> </w:t>
      </w:r>
      <w:r>
        <w:t xml:space="preserve">in</w:t>
      </w:r>
      <w:r>
        <w:t xml:space="preserve"> </w:t>
      </w:r>
      <w:r>
        <w:rPr>
          <w:bCs/>
          <w:b/>
        </w:rPr>
        <w:t xml:space="preserve">Manila</w:t>
      </w:r>
      <w:r>
        <w:t xml:space="preserve">, it highlights the necessity of integrating digital literacy and flexible learning modalities into the curriculum. It discusses the use of modular distance learning and online platforms, which are prevalent in urban areas like Manila. This resource is vital for developers who must ensure that the curriculum is resilient and adaptable to future disruptions, emphasizing the role of technology in Filipino education.</w:t>
      </w:r>
    </w:p>
    <w:bookmarkEnd w:id="30"/>
    <w:bookmarkStart w:id="31" w:name="X7ae5e8fabd5ac9d362d0a5a738e59e5f9e8c280"/>
    <w:p>
      <w:pPr>
        <w:pStyle w:val="Heading3"/>
      </w:pPr>
      <w:r>
        <w:t xml:space="preserve">UNESCO. (2021). Reimagining Our Futures Together: A New Social Contract for Education. UNESCO Publishing.</w:t>
      </w:r>
    </w:p>
    <w:p>
      <w:pPr>
        <w:pStyle w:val="FirstParagraph"/>
      </w:pPr>
      <w:r>
        <w:t xml:space="preserve">UNESCO. (2021).</w:t>
      </w:r>
      <w:r>
        <w:t xml:space="preserve"> </w:t>
      </w:r>
      <w:r>
        <w:rPr>
          <w:iCs/>
          <w:i/>
        </w:rPr>
        <w:t xml:space="preserve">Reimagining Our Futures Together: A New Social Contract for Education</w:t>
      </w:r>
      <w:r>
        <w:t xml:space="preserve">. UNESCO Publishing.</w:t>
      </w:r>
    </w:p>
    <w:p>
      <w:pPr>
        <w:pStyle w:val="BodyText"/>
      </w:pPr>
      <w:r>
        <w:t xml:space="preserve">This global report influences national curriculum policies in the</w:t>
      </w:r>
      <w:r>
        <w:t xml:space="preserve"> </w:t>
      </w:r>
      <w:r>
        <w:rPr>
          <w:bCs/>
          <w:b/>
        </w:rPr>
        <w:t xml:space="preserve">Philippines</w:t>
      </w:r>
      <w:r>
        <w:t xml:space="preserve">. It calls for a holistic approach to education that includes sustainability, peace, and global citizenship. For a</w:t>
      </w:r>
      <w:r>
        <w:t xml:space="preserve"> </w:t>
      </w:r>
      <w:r>
        <w:rPr>
          <w:bCs/>
          <w:b/>
        </w:rPr>
        <w:t xml:space="preserve">Curriculum Developer</w:t>
      </w:r>
      <w:r>
        <w:t xml:space="preserve"> </w:t>
      </w:r>
      <w:r>
        <w:t xml:space="preserve">in</w:t>
      </w:r>
      <w:r>
        <w:t xml:space="preserve"> </w:t>
      </w:r>
      <w:r>
        <w:rPr>
          <w:bCs/>
          <w:b/>
        </w:rPr>
        <w:t xml:space="preserve">Manila</w:t>
      </w:r>
      <w:r>
        <w:t xml:space="preserve">, this document provides a forward-looking perspective on what skills and values should be embedded in the curriculum. It encourages developers to move beyond academic content to include socio-emotional learning and environmental awareness, which are critical issues for the densely populated and ecologically vulnerable region of Metro Manila.</w:t>
      </w:r>
    </w:p>
    <w:p>
      <w:pPr>
        <w:pStyle w:val="BodyText"/>
      </w:pPr>
      <w:r>
        <w:t xml:space="preserve">© 2023 Annotated Bibliography on Curriculum Development in Manila, Philippines.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Manila, Philippines</dc:title>
  <dc:creator/>
  <dc:language>en</dc:language>
  <cp:keywords/>
  <dcterms:created xsi:type="dcterms:W3CDTF">2026-08-07T00:52:19Z</dcterms:created>
  <dcterms:modified xsi:type="dcterms:W3CDTF">2026-08-07T00:52:19Z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