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b196fd9d1ea2c0e64488fe2825ef2dd48d1641f"/>
    <w:p>
      <w:pPr>
        <w:pStyle w:val="Heading1"/>
      </w:pPr>
      <w:r>
        <w:t xml:space="preserve">Annotated Bibliography: The Role of the Curriculum Developer in Riyadh, Saudi Arabia</w:t>
      </w:r>
    </w:p>
    <w:p>
      <w:pPr>
        <w:pStyle w:val="FirstParagraph"/>
      </w:pPr>
      <w:r>
        <w:t xml:space="preserve">The following annotated bibliography compiles essential resources regarding the evolving landscape of educational design within the Kingdom of Saudi Arabia, with a specific focus on the capital city, Riyadh. As the nation pursues the ambitious goals of Vision 2030, the role of the</w:t>
      </w:r>
      <w:r>
        <w:t xml:space="preserve"> </w:t>
      </w:r>
      <w:r>
        <w:rPr>
          <w:bCs/>
          <w:b/>
        </w:rPr>
        <w:t xml:space="preserve">Curriculum Developer</w:t>
      </w:r>
      <w:r>
        <w:t xml:space="preserve"> </w:t>
      </w:r>
      <w:r>
        <w:t xml:space="preserve">has shifted from traditional content creation to strategic alignment with global standards, digital transformation, and cultural preservation. These sources provide a comprehensive overview of the theoretical frameworks, policy mandates, and practical challenges faced by educators and instructional designers operating in Riyadh's dynamic educational sector.</w:t>
      </w:r>
    </w:p>
    <w:bookmarkStart w:id="20" w:name="references"/>
    <w:p>
      <w:pPr>
        <w:pStyle w:val="Heading2"/>
      </w:pPr>
      <w:r>
        <w:t xml:space="preserve">References</w:t>
      </w:r>
    </w:p>
    <w:p>
      <w:pPr>
        <w:pStyle w:val="FirstParagraph"/>
      </w:pPr>
      <w:r>
        <w:t xml:space="preserve">Al-Harthi, A. (2021).</w:t>
      </w:r>
      <w:r>
        <w:t xml:space="preserve"> </w:t>
      </w:r>
      <w:r>
        <w:rPr>
          <w:iCs/>
          <w:i/>
        </w:rPr>
        <w:t xml:space="preserve">Curriculum Reform in Saudi Arabia: Aligning with Vision 2030.</w:t>
      </w:r>
      <w:r>
        <w:t xml:space="preserve"> </w:t>
      </w:r>
      <w:r>
        <w:t xml:space="preserve">Journal of Middle Eastern Educational Research, 14(2), 45-62.</w:t>
      </w:r>
    </w:p>
    <w:p>
      <w:pPr>
        <w:pStyle w:val="BodyText"/>
      </w:pPr>
      <w:r>
        <w:t xml:space="preserve">This article provides a critical analysis of the Ministry of Education's recent directives aimed at modernizing the national curriculum. Al-Harthi examines the transition from rote memorization to competency-based learning models, highlighting specific pilot programs implemented in Riyadh's public schools. The text details the structural changes required for curriculum developers to integrate critical thinking and problem-solving skills into core subjects.</w:t>
      </w:r>
    </w:p>
    <w:p>
      <w:pPr>
        <w:pStyle w:val="BodyText"/>
      </w:pPr>
      <w:r>
        <w:t xml:space="preserve">The author demonstrates a strong grasp of policy implementation challenges. The data is current and directly reflects the administrative shifts occurring in the capital.</w:t>
      </w:r>
    </w:p>
    <w:p>
      <w:pPr>
        <w:pStyle w:val="BodyText"/>
      </w:pPr>
      <w:r>
        <w:t xml:space="preserve">Highly relevant for any curriculum developer in Riyadh seeking to understand the macro-level policy drivers shaping their daily work. It serves as a foundational text for aligning local course designs with national strategic goals.</w:t>
      </w:r>
    </w:p>
    <w:p>
      <w:pPr>
        <w:pStyle w:val="BodyText"/>
      </w:pPr>
      <w:r>
        <w:t xml:space="preserve">Bin Saeed, M., &amp; Al-Otaibi, F. (2022).</w:t>
      </w:r>
      <w:r>
        <w:t xml:space="preserve"> </w:t>
      </w:r>
      <w:r>
        <w:rPr>
          <w:iCs/>
          <w:i/>
        </w:rPr>
        <w:t xml:space="preserve">Digital Transformation in Riyadh’s Higher Education Institutions.</w:t>
      </w:r>
      <w:r>
        <w:t xml:space="preserve"> </w:t>
      </w:r>
      <w:r>
        <w:t xml:space="preserve">International Journal of Educational Technology, 9(1), 112-128.</w:t>
      </w:r>
    </w:p>
    <w:p>
      <w:pPr>
        <w:pStyle w:val="BodyText"/>
      </w:pPr>
      <w:r>
        <w:t xml:space="preserve">This study investigates the integration of Learning Management Systems (LMS) and AI-driven tools in universities across Riyadh. The authors argue that the modern curriculum developer must possess technical proficiency to design hybrid learning experiences. The paper includes case studies from prominent Riyadh-based universities, illustrating how digital infrastructure influences pedagogical choices and assessment strategies.</w:t>
      </w:r>
    </w:p>
    <w:p>
      <w:pPr>
        <w:pStyle w:val="BodyText"/>
      </w:pPr>
      <w:r>
        <w:t xml:space="preserve">A robust empirical study with clear implications for instructional design. The focus on Riyadh provides specific context regarding infrastructure availability and faculty readiness.</w:t>
      </w:r>
    </w:p>
    <w:p>
      <w:pPr>
        <w:pStyle w:val="BodyText"/>
      </w:pPr>
      <w:r>
        <w:t xml:space="preserve">Essential for curriculum developers tasked with creating digital-first or blended learning modules. It highlights the technical competencies required in the Riyadh market.</w:t>
      </w:r>
    </w:p>
    <w:p>
      <w:pPr>
        <w:pStyle w:val="BodyText"/>
      </w:pPr>
      <w:r>
        <w:t xml:space="preserve">Kingdom of Saudi Arabia. (2016).</w:t>
      </w:r>
      <w:r>
        <w:t xml:space="preserve"> </w:t>
      </w:r>
      <w:r>
        <w:rPr>
          <w:iCs/>
          <w:i/>
        </w:rPr>
        <w:t xml:space="preserve">Vision 2030: National Transformation Program.</w:t>
      </w:r>
      <w:r>
        <w:t xml:space="preserve"> </w:t>
      </w:r>
      <w:r>
        <w:t xml:space="preserve">Royal Court of Saudi Arabia.</w:t>
      </w:r>
    </w:p>
    <w:p>
      <w:pPr>
        <w:pStyle w:val="BodyText"/>
      </w:pPr>
      <w:r>
        <w:t xml:space="preserve">The official government document outlining the Kingdom’s long-term strategic plan. While not exclusively educational, the "Quality of Life" and "Vibrant Society" programs contain detailed mandates for educational reform. It emphasizes the need for a workforce skilled in innovation, leadership, and global competitiveness, directly influencing the objectives set for curriculum developers.</w:t>
      </w:r>
    </w:p>
    <w:p>
      <w:pPr>
        <w:pStyle w:val="BodyText"/>
      </w:pPr>
      <w:r>
        <w:t xml:space="preserve">As a primary source, this document is authoritative and indispensable. It provides the "why" behind all current educational reforms in Saudi Arabia.</w:t>
      </w:r>
    </w:p>
    <w:p>
      <w:pPr>
        <w:pStyle w:val="BodyText"/>
      </w:pPr>
      <w:r>
        <w:t xml:space="preserve">Mandatory reading for curriculum developers in Riyadh. Understanding Vision 2030 is crucial for justifying curriculum changes to stakeholders and ensuring alignment with national priorities.</w:t>
      </w:r>
    </w:p>
    <w:p>
      <w:pPr>
        <w:pStyle w:val="BodyText"/>
      </w:pPr>
      <w:r>
        <w:t xml:space="preserve">Al-Mutairi, N. (2020).</w:t>
      </w:r>
      <w:r>
        <w:t xml:space="preserve"> </w:t>
      </w:r>
      <w:r>
        <w:rPr>
          <w:iCs/>
          <w:i/>
        </w:rPr>
        <w:t xml:space="preserve">Cultural Contextualization in STEM Education: A Riyadh Perspective.</w:t>
      </w:r>
      <w:r>
        <w:t xml:space="preserve"> </w:t>
      </w:r>
      <w:r>
        <w:t xml:space="preserve">Arab Journal of Science and Technology Education, 7(3), 201-215.</w:t>
      </w:r>
    </w:p>
    <w:p>
      <w:pPr>
        <w:pStyle w:val="BodyText"/>
      </w:pPr>
      <w:r>
        <w:t xml:space="preserve">Al-Mutairi explores the delicate balance between adopting global STEM standards and maintaining Saudi cultural values. The article discusses how curriculum developers in Riyadh must localize content to ensure it is culturally appropriate while remaining scientifically rigorous. It offers practical examples of adapting international textbooks for Saudi classrooms.</w:t>
      </w:r>
    </w:p>
    <w:p>
      <w:pPr>
        <w:pStyle w:val="BodyText"/>
      </w:pPr>
      <w:r>
        <w:t xml:space="preserve">The article offers nuanced insights into the socio-cultural dimensions of curriculum design. It avoids generalizations and focuses on the specific context of Riyadh’s diverse student population.</w:t>
      </w:r>
    </w:p>
    <w:p>
      <w:pPr>
        <w:pStyle w:val="BodyText"/>
      </w:pPr>
      <w:r>
        <w:t xml:space="preserve">Critical for developers working on science and technology curricula. It provides guidance on navigating cultural sensitivities, a key requirement for success in Saudi Arabia.</w:t>
      </w:r>
    </w:p>
    <w:p>
      <w:pPr>
        <w:pStyle w:val="BodyText"/>
      </w:pPr>
      <w:r>
        <w:t xml:space="preserve">Riyadh Education Directorate. (2023).</w:t>
      </w:r>
      <w:r>
        <w:t xml:space="preserve"> </w:t>
      </w:r>
      <w:r>
        <w:rPr>
          <w:iCs/>
          <w:i/>
        </w:rPr>
        <w:t xml:space="preserve">Annual Report on Educational Outcomes and Curriculum Implementation.</w:t>
      </w:r>
      <w:r>
        <w:t xml:space="preserve"> </w:t>
      </w:r>
      <w:r>
        <w:t xml:space="preserve">Ministry of Education, Riyadh Branch.</w:t>
      </w:r>
    </w:p>
    <w:p>
      <w:pPr>
        <w:pStyle w:val="BodyText"/>
      </w:pPr>
      <w:r>
        <w:t xml:space="preserve">This government report provides quantitative data on student performance, teacher training, and curriculum adoption rates within Riyadh. It highlights gaps in learning outcomes and identifies areas where the current curriculum requires revision. The report also outlines upcoming initiatives for teacher professional development focused on new curriculum standards.</w:t>
      </w:r>
    </w:p>
    <w:p>
      <w:pPr>
        <w:pStyle w:val="BodyText"/>
      </w:pPr>
      <w:r>
        <w:t xml:space="preserve">A valuable data-driven resource that offers an objective view of the current educational landscape. The statistics are reliable and directly applicable to needs analysis.</w:t>
      </w:r>
    </w:p>
    <w:p>
      <w:pPr>
        <w:pStyle w:val="BodyText"/>
      </w:pPr>
      <w:r>
        <w:t xml:space="preserve">Useful for curriculum developers conducting needs assessments. It helps identify specific pain points in Riyadh’s schools that new curriculum designs should address.</w:t>
      </w:r>
    </w:p>
    <w:p>
      <w:pPr>
        <w:pStyle w:val="BodyText"/>
      </w:pPr>
      <w:r>
        <w:t xml:space="preserve">Smith, J., &amp; Al-Harbi, K. (2021).</w:t>
      </w:r>
      <w:r>
        <w:t xml:space="preserve"> </w:t>
      </w:r>
      <w:r>
        <w:rPr>
          <w:iCs/>
          <w:i/>
        </w:rPr>
        <w:t xml:space="preserve">Competency-Based Education in the Gulf: Challenges and Opportunities.</w:t>
      </w:r>
      <w:r>
        <w:t xml:space="preserve"> </w:t>
      </w:r>
      <w:r>
        <w:t xml:space="preserve">Global Education Review, 8(4), 78-95.</w:t>
      </w:r>
    </w:p>
    <w:p>
      <w:pPr>
        <w:pStyle w:val="BodyText"/>
      </w:pPr>
      <w:r>
        <w:t xml:space="preserve">This comparative study looks at the shift towards competency-based education (CBE) in Gulf Cooperation Council (GCC) countries, with a significant focus on Saudi Arabia. The authors discuss the role of the curriculum developer in defining measurable competencies and designing authentic assessments. They highlight the challenges of moving away from traditional grading systems in Riyadh’s schools.</w:t>
      </w:r>
    </w:p>
    <w:p>
      <w:pPr>
        <w:pStyle w:val="BodyText"/>
      </w:pPr>
      <w:r>
        <w:t xml:space="preserve">The authors provide a balanced view of the benefits and difficulties of CBE. The inclusion of Saudi case studies makes the theoretical concepts more accessible.</w:t>
      </w:r>
    </w:p>
    <w:p>
      <w:pPr>
        <w:pStyle w:val="BodyText"/>
      </w:pPr>
      <w:r>
        <w:t xml:space="preserve">Important for developers involved in assessment design. It offers strategies for implementing CBE in a way that is feasible within the Saudi educational system.</w:t>
      </w:r>
    </w:p>
    <w:p>
      <w:pPr>
        <w:pStyle w:val="BodyText"/>
      </w:pPr>
      <w:r>
        <w:t xml:space="preserve">Al-Qahtani, S. (2022).</w:t>
      </w:r>
      <w:r>
        <w:t xml:space="preserve"> </w:t>
      </w:r>
      <w:r>
        <w:rPr>
          <w:iCs/>
          <w:i/>
        </w:rPr>
        <w:t xml:space="preserve">The Role of Private Schools in Riyadh’s Educational Ecosystem.</w:t>
      </w:r>
      <w:r>
        <w:t xml:space="preserve"> </w:t>
      </w:r>
      <w:r>
        <w:t xml:space="preserve">Journal of Private Education in the Middle East, 5(1), 33-49.</w:t>
      </w:r>
    </w:p>
    <w:p>
      <w:pPr>
        <w:pStyle w:val="BodyText"/>
      </w:pPr>
      <w:r>
        <w:t xml:space="preserve">This article examines the growing influence of private and international schools in Riyadh. It discusses how these institutions often serve as testing grounds for innovative curricula before they are adopted nationally. The author analyzes the expectations of parents in Riyadh regarding curriculum quality and the pressure this places on curriculum developers to deliver high-standard, globally recognized programs.</w:t>
      </w:r>
    </w:p>
    <w:p>
      <w:pPr>
        <w:pStyle w:val="BodyText"/>
      </w:pPr>
      <w:r>
        <w:t xml:space="preserve">A well-researched piece that sheds light on the competitive nature of Riyadh’s private education sector. It provides insight into market demands.</w:t>
      </w:r>
    </w:p>
    <w:p>
      <w:pPr>
        <w:pStyle w:val="BodyText"/>
      </w:pPr>
      <w:r>
        <w:t xml:space="preserve">Relevant for curriculum developers working in the private sector or those designing programs that need to appeal to discerning parents in Riyadh.</w:t>
      </w:r>
    </w:p>
    <w:p>
      <w:pPr>
        <w:pStyle w:val="BodyText"/>
      </w:pPr>
      <w:r>
        <w:t xml:space="preserve">Ministry of Education, Saudi Arabia. (2023).</w:t>
      </w:r>
      <w:r>
        <w:t xml:space="preserve"> </w:t>
      </w:r>
      <w:r>
        <w:rPr>
          <w:iCs/>
          <w:i/>
        </w:rPr>
        <w:t xml:space="preserve">National Curriculum Framework for General Education.</w:t>
      </w:r>
      <w:r>
        <w:t xml:space="preserve"> </w:t>
      </w:r>
      <w:r>
        <w:t xml:space="preserve">Riyadh: Ministry of Education Publications.</w:t>
      </w:r>
    </w:p>
    <w:p>
      <w:pPr>
        <w:pStyle w:val="BodyText"/>
      </w:pPr>
      <w:r>
        <w:t xml:space="preserve">This official framework outlines the core subjects, learning objectives, and pedagogical approaches mandated for all general education schools in Saudi Arabia. It serves as the primary reference document for curriculum developers, providing detailed guidelines on content sequencing, integration of Islamic values, and national identity.</w:t>
      </w:r>
    </w:p>
    <w:p>
      <w:pPr>
        <w:pStyle w:val="BodyText"/>
      </w:pPr>
      <w:r>
        <w:t xml:space="preserve">As the governing document, it is the ultimate authority on curriculum standards. It is comprehensive and clearly structured.</w:t>
      </w:r>
    </w:p>
    <w:p>
      <w:pPr>
        <w:pStyle w:val="BodyText"/>
      </w:pPr>
      <w:r>
        <w:t xml:space="preserve">Indispensable for any curriculum developer in Riyadh. Compliance with this framework is non-negotiable, making it the starting point for all curriculum design projects.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Riyadh, Saudi Arabia</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