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Curriculum Development Strategies and Practices in Istanbul, Turkey</w:t>
      </w:r>
    </w:p>
    <w:bookmarkEnd w:id="20"/>
    <w:p>
      <w:pPr>
        <w:pStyle w:val="BodyText"/>
      </w:pPr>
      <w:r>
        <w:t xml:space="preserve">The role of the</w:t>
      </w:r>
      <w:r>
        <w:t xml:space="preserve"> </w:t>
      </w:r>
      <w:r>
        <w:rPr>
          <w:bCs/>
          <w:b/>
        </w:rPr>
        <w:t xml:space="preserve">Curriculum Developer</w:t>
      </w:r>
      <w:r>
        <w:t xml:space="preserve"> </w:t>
      </w:r>
      <w:r>
        <w:t xml:space="preserve">in</w:t>
      </w:r>
      <w:r>
        <w:t xml:space="preserve"> </w:t>
      </w:r>
      <w:r>
        <w:rPr>
          <w:bCs/>
          <w:b/>
        </w:rPr>
        <w:t xml:space="preserve">Turkey</w:t>
      </w:r>
      <w:r>
        <w:t xml:space="preserve">, specifically within the dynamic educational landscape of</w:t>
      </w:r>
      <w:r>
        <w:t xml:space="preserve"> </w:t>
      </w:r>
      <w:r>
        <w:rPr>
          <w:bCs/>
          <w:b/>
        </w:rPr>
        <w:t xml:space="preserve">Istanbul</w:t>
      </w:r>
      <w:r>
        <w:t xml:space="preserve">, is pivotal. As the nation's largest metropolis and economic hub, Istanbul presents unique challenges and opportunities for educational planning. This annotated bibliography compiles key resources that address the intersection of national policy, local implementation, and modern pedagogical needs. The selected works explore how curriculum developers in Istanbul navigate the transition from traditional rote learning to competency-based education, the integration of technology, and the specific socio-cultural demands of a diverse urban population.</w:t>
      </w:r>
    </w:p>
    <w:bookmarkStart w:id="29" w:name="selected-bibliography"/>
    <w:p>
      <w:pPr>
        <w:pStyle w:val="Heading2"/>
      </w:pPr>
      <w:r>
        <w:t xml:space="preserve">Selected Bibliography</w:t>
      </w:r>
    </w:p>
    <w:bookmarkStart w:id="21" w:name="Xcf8ad402d61d5344fc5788d1e004e51316ef8e4"/>
    <w:p>
      <w:pPr>
        <w:pStyle w:val="Heading3"/>
      </w:pPr>
      <w:r>
        <w:t xml:space="preserve">1. The National Framework and Local Adaptation</w:t>
      </w:r>
    </w:p>
    <w:p>
      <w:pPr>
        <w:pStyle w:val="FirstParagraph"/>
      </w:pPr>
      <w:r>
        <w:t xml:space="preserve"> </w:t>
      </w:r>
      <w:r>
        <w:t xml:space="preserve">Ministry of National Education (MoNE). (2018).</w:t>
      </w:r>
      <w:r>
        <w:t xml:space="preserve"> </w:t>
      </w:r>
      <w:r>
        <w:rPr>
          <w:iCs/>
          <w:i/>
        </w:rPr>
        <w:t xml:space="preserve">Curriculum Development Guide: Principles, Procedures, and Standards</w:t>
      </w:r>
      <w:r>
        <w:t xml:space="preserve">. Ankara: MoNE Publications.</w:t>
      </w:r>
      <w:r>
        <w:t xml:space="preserve"> </w:t>
      </w:r>
    </w:p>
    <w:p>
      <w:pPr>
        <w:pStyle w:val="BodyText"/>
      </w:pPr>
      <w:r>
        <w:t xml:space="preserve">This official publication serves as the foundational text for any</w:t>
      </w:r>
      <w:r>
        <w:t xml:space="preserve"> </w:t>
      </w:r>
      <w:r>
        <w:rPr>
          <w:bCs/>
          <w:b/>
        </w:rPr>
        <w:t xml:space="preserve">Curriculum Developer</w:t>
      </w:r>
      <w:r>
        <w:t xml:space="preserve"> </w:t>
      </w:r>
      <w:r>
        <w:t xml:space="preserve">operating within the Turkish education system. It outlines the legal and pedagogical framework mandated by the Ministry of National Education. For practitioners in</w:t>
      </w:r>
      <w:r>
        <w:t xml:space="preserve"> </w:t>
      </w:r>
      <w:r>
        <w:rPr>
          <w:bCs/>
          <w:b/>
        </w:rPr>
        <w:t xml:space="preserve">Istanbul</w:t>
      </w:r>
      <w:r>
        <w:t xml:space="preserve">, this document is critical as it defines the "Common Core" that must be adhered to across all public institutions. The guide details the shift towards competency-based education, emphasizing the development of 21st-century skills. While the text is national in scope, it provides the necessary parameters within which Istanbul-based developers must innovate. It is essential for understanding the regulatory constraints and the standardized learning outcomes that govern curriculum design in Turkey's largest province.</w:t>
      </w:r>
    </w:p>
    <w:bookmarkEnd w:id="21"/>
    <w:bookmarkStart w:id="22" w:name="X2c9a15103465e0209ff49f45c203f4495a5fc13"/>
    <w:p>
      <w:pPr>
        <w:pStyle w:val="Heading3"/>
      </w:pPr>
      <w:r>
        <w:t xml:space="preserve">2. Urban Education and Socio-Economic Diversity</w:t>
      </w:r>
    </w:p>
    <w:p>
      <w:pPr>
        <w:pStyle w:val="FirstParagraph"/>
      </w:pPr>
      <w:r>
        <w:t xml:space="preserve"> </w:t>
      </w:r>
      <w:r>
        <w:t xml:space="preserve">Çakır, M., &amp; Yılmaz, S. (2020). "Challenges of Curriculum Implementation in Megacities: A Case Study of Istanbul."</w:t>
      </w:r>
      <w:r>
        <w:t xml:space="preserve"> </w:t>
      </w:r>
      <w:r>
        <w:rPr>
          <w:iCs/>
          <w:i/>
        </w:rPr>
        <w:t xml:space="preserve">Journal of Educational Research in Turkey</w:t>
      </w:r>
      <w:r>
        <w:t xml:space="preserve">, 12(3), 45-62.</w:t>
      </w:r>
      <w:r>
        <w:t xml:space="preserve"> </w:t>
      </w:r>
    </w:p>
    <w:p>
      <w:pPr>
        <w:pStyle w:val="BodyText"/>
      </w:pPr>
      <w:r>
        <w:t xml:space="preserve">This academic article offers a granular look at the specific difficulties faced by educators and developers in</w:t>
      </w:r>
      <w:r>
        <w:t xml:space="preserve"> </w:t>
      </w:r>
      <w:r>
        <w:rPr>
          <w:bCs/>
          <w:b/>
        </w:rPr>
        <w:t xml:space="preserve">Istanbul</w:t>
      </w:r>
      <w:r>
        <w:t xml:space="preserve">. The authors argue that a one-size-fits-all national curriculum often fails to address the stark socio-economic disparities found within Istanbul's districts. For a</w:t>
      </w:r>
      <w:r>
        <w:t xml:space="preserve"> </w:t>
      </w:r>
      <w:r>
        <w:rPr>
          <w:bCs/>
          <w:b/>
        </w:rPr>
        <w:t xml:space="preserve">Curriculum Developer</w:t>
      </w:r>
      <w:r>
        <w:t xml:space="preserve">, this study is invaluable as it highlights the need for localized adaptation strategies. It discusses how curriculum materials must be culturally responsive to the diverse demographics of Istanbul, including migrant populations and varying levels of digital literacy. The paper suggests that effective curriculum development in this context requires a flexible approach that allows for local contextualization while maintaining national standards.</w:t>
      </w:r>
    </w:p>
    <w:bookmarkEnd w:id="22"/>
    <w:bookmarkStart w:id="23" w:name="X0b1926dbe381612e01af324271edefeec9eb851"/>
    <w:p>
      <w:pPr>
        <w:pStyle w:val="Heading3"/>
      </w:pPr>
      <w:r>
        <w:t xml:space="preserve">3. Technology Integration in Modern Classrooms</w:t>
      </w:r>
    </w:p>
    <w:p>
      <w:pPr>
        <w:pStyle w:val="FirstParagraph"/>
      </w:pPr>
      <w:r>
        <w:t xml:space="preserve"> </w:t>
      </w:r>
      <w:r>
        <w:t xml:space="preserve">Koc, M., &amp; Ozdamar, A. (2021). "Digital Transformation in Turkish Education: The Role of the Curriculum Developer."</w:t>
      </w:r>
      <w:r>
        <w:t xml:space="preserve"> </w:t>
      </w:r>
      <w:r>
        <w:rPr>
          <w:iCs/>
          <w:i/>
        </w:rPr>
        <w:t xml:space="preserve">International Journal of Educational Technology</w:t>
      </w:r>
      <w:r>
        <w:t xml:space="preserve">, 8(2), 112-129.</w:t>
      </w:r>
      <w:r>
        <w:t xml:space="preserve"> </w:t>
      </w:r>
    </w:p>
    <w:p>
      <w:pPr>
        <w:pStyle w:val="BodyText"/>
      </w:pPr>
      <w:r>
        <w:t xml:space="preserve">As</w:t>
      </w:r>
      <w:r>
        <w:t xml:space="preserve"> </w:t>
      </w:r>
      <w:r>
        <w:rPr>
          <w:bCs/>
          <w:b/>
        </w:rPr>
        <w:t xml:space="preserve">Turkey</w:t>
      </w:r>
      <w:r>
        <w:t xml:space="preserve"> </w:t>
      </w:r>
      <w:r>
        <w:t xml:space="preserve">accelerates its digital transformation initiatives, this resource is crucial for the modern</w:t>
      </w:r>
      <w:r>
        <w:t xml:space="preserve"> </w:t>
      </w:r>
      <w:r>
        <w:rPr>
          <w:bCs/>
          <w:b/>
        </w:rPr>
        <w:t xml:space="preserve">Curriculum Developer</w:t>
      </w:r>
      <w:r>
        <w:t xml:space="preserve">. The authors examine the integration of the "Fatih Project" and subsequent digital learning platforms into the standard curriculum. With</w:t>
      </w:r>
      <w:r>
        <w:t xml:space="preserve"> </w:t>
      </w:r>
      <w:r>
        <w:rPr>
          <w:bCs/>
          <w:b/>
        </w:rPr>
        <w:t xml:space="preserve">Istanbul</w:t>
      </w:r>
      <w:r>
        <w:t xml:space="preserve"> </w:t>
      </w:r>
      <w:r>
        <w:t xml:space="preserve">being a leader in technological adoption, this paper provides case studies on how digital tools can be woven into lesson plans effectively. It moves beyond mere tool usage to discuss how curriculum structures must evolve to support blended learning environments. The text is particularly relevant for developers aiming to create future-ready curricula that leverage Istanbul's robust infrastructure to enhance student engagement and learning outcomes.</w:t>
      </w:r>
    </w:p>
    <w:bookmarkEnd w:id="23"/>
    <w:bookmarkStart w:id="24" w:name="competency-based-education-models"/>
    <w:p>
      <w:pPr>
        <w:pStyle w:val="Heading3"/>
      </w:pPr>
      <w:r>
        <w:t xml:space="preserve">4. Competency-Based Education Models</w:t>
      </w:r>
    </w:p>
    <w:p>
      <w:pPr>
        <w:pStyle w:val="FirstParagraph"/>
      </w:pPr>
      <w:r>
        <w:t xml:space="preserve"> </w:t>
      </w:r>
      <w:r>
        <w:t xml:space="preserve">Anderson, L. W., &amp; Krathwohl, D. R. (2001).</w:t>
      </w:r>
      <w:r>
        <w:t xml:space="preserve"> </w:t>
      </w:r>
      <w:r>
        <w:rPr>
          <w:iCs/>
          <w:i/>
        </w:rPr>
        <w:t xml:space="preserve">A Taxonomy for Learning, Teaching, and Assessing: A Revision of Bloom's Taxonomy of Educational Objectives</w:t>
      </w:r>
      <w:r>
        <w:t xml:space="preserve">. New York: Longman.</w:t>
      </w:r>
      <w:r>
        <w:t xml:space="preserve"> </w:t>
      </w:r>
    </w:p>
    <w:p>
      <w:pPr>
        <w:pStyle w:val="BodyText"/>
      </w:pPr>
      <w:r>
        <w:t xml:space="preserve">While not specific to</w:t>
      </w:r>
      <w:r>
        <w:t xml:space="preserve"> </w:t>
      </w:r>
      <w:r>
        <w:rPr>
          <w:bCs/>
          <w:b/>
        </w:rPr>
        <w:t xml:space="preserve">Turkey</w:t>
      </w:r>
      <w:r>
        <w:t xml:space="preserve">, this seminal work is widely cited in Turkish academic circles and is a staple for</w:t>
      </w:r>
      <w:r>
        <w:t xml:space="preserve"> </w:t>
      </w:r>
      <w:r>
        <w:rPr>
          <w:bCs/>
          <w:b/>
        </w:rPr>
        <w:t xml:space="preserve">Curriculum Developers</w:t>
      </w:r>
      <w:r>
        <w:t xml:space="preserve"> </w:t>
      </w:r>
      <w:r>
        <w:t xml:space="preserve">in</w:t>
      </w:r>
      <w:r>
        <w:t xml:space="preserve"> </w:t>
      </w:r>
      <w:r>
        <w:rPr>
          <w:bCs/>
          <w:b/>
        </w:rPr>
        <w:t xml:space="preserve">Istanbul</w:t>
      </w:r>
      <w:r>
        <w:t xml:space="preserve"> </w:t>
      </w:r>
      <w:r>
        <w:t xml:space="preserve">who are designing competency-based frameworks. The revision of Bloom's Taxonomy provides a cognitive framework that aligns with the MoNE's push for higher-order thinking skills. In the context of Istanbul's competitive academic environment, developers use this taxonomy to ensure that curriculum objectives move beyond memorization to analysis, evaluation, and creation. It serves as a theoretical backbone for creating rigorous, measurable learning outcomes that are recognized both locally and internationally.</w:t>
      </w:r>
    </w:p>
    <w:bookmarkEnd w:id="24"/>
    <w:bookmarkStart w:id="25" w:name="X097723488341e81cecebabdc86ed0fd5c1f6659"/>
    <w:p>
      <w:pPr>
        <w:pStyle w:val="Heading3"/>
      </w:pPr>
      <w:r>
        <w:t xml:space="preserve">5. Teacher Training and Curriculum Alignment</w:t>
      </w:r>
    </w:p>
    <w:p>
      <w:pPr>
        <w:pStyle w:val="FirstParagraph"/>
      </w:pPr>
      <w:r>
        <w:t xml:space="preserve"> </w:t>
      </w:r>
      <w:r>
        <w:t xml:space="preserve">Gündüz, N., &amp; Kılıç, E. (2019). "Bridging the Gap: Teacher Perceptions of New Curriculum Reforms in Istanbul."</w:t>
      </w:r>
      <w:r>
        <w:t xml:space="preserve"> </w:t>
      </w:r>
      <w:r>
        <w:rPr>
          <w:iCs/>
          <w:i/>
        </w:rPr>
        <w:t xml:space="preserve">European Journal of Contemporary Education</w:t>
      </w:r>
      <w:r>
        <w:t xml:space="preserve">, 8(1), 78-90.</w:t>
      </w:r>
      <w:r>
        <w:t xml:space="preserve"> </w:t>
      </w:r>
    </w:p>
    <w:p>
      <w:pPr>
        <w:pStyle w:val="BodyText"/>
      </w:pPr>
      <w:r>
        <w:t xml:space="preserve">A curriculum is only as effective as its implementation by teachers. This study focuses on the reception of recent curriculum reforms by educators in</w:t>
      </w:r>
      <w:r>
        <w:t xml:space="preserve"> </w:t>
      </w:r>
      <w:r>
        <w:rPr>
          <w:bCs/>
          <w:b/>
        </w:rPr>
        <w:t xml:space="preserve">Istanbul</w:t>
      </w:r>
      <w:r>
        <w:t xml:space="preserve">. For a</w:t>
      </w:r>
      <w:r>
        <w:t xml:space="preserve"> </w:t>
      </w:r>
      <w:r>
        <w:rPr>
          <w:bCs/>
          <w:b/>
        </w:rPr>
        <w:t xml:space="preserve">Curriculum Developer</w:t>
      </w:r>
      <w:r>
        <w:t xml:space="preserve">, understanding the end-user is vital. The authors identify gaps between the theoretical design of the curriculum and the practical realities of the classroom. The findings suggest that developers in Turkey must prioritize professional development and support materials alongside the curriculum itself. This resource underscores the importance of collaborative development processes that include teacher feedback, ensuring that new curricula are practical, manageable, and well-received in Istanbul's diverse school settings.</w:t>
      </w:r>
    </w:p>
    <w:bookmarkEnd w:id="25"/>
    <w:bookmarkStart w:id="26" w:name="X9ffeb0ba649590e28c3173b199fdb8266992ad6"/>
    <w:p>
      <w:pPr>
        <w:pStyle w:val="Heading3"/>
      </w:pPr>
      <w:r>
        <w:t xml:space="preserve">6. International Standards and Global Competitiveness</w:t>
      </w:r>
    </w:p>
    <w:p>
      <w:pPr>
        <w:pStyle w:val="FirstParagraph"/>
      </w:pPr>
      <w:r>
        <w:t xml:space="preserve"> </w:t>
      </w:r>
      <w:r>
        <w:t xml:space="preserve">OECD. (2019).</w:t>
      </w:r>
      <w:r>
        <w:t xml:space="preserve"> </w:t>
      </w:r>
      <w:r>
        <w:rPr>
          <w:iCs/>
          <w:i/>
        </w:rPr>
        <w:t xml:space="preserve">PISA 2018 Results (Volume I): What Students Know and Can Do</w:t>
      </w:r>
      <w:r>
        <w:t xml:space="preserve">. Paris: OECD Publishing.</w:t>
      </w:r>
      <w:r>
        <w:t xml:space="preserve"> </w:t>
      </w:r>
    </w:p>
    <w:p>
      <w:pPr>
        <w:pStyle w:val="BodyText"/>
      </w:pPr>
      <w:r>
        <w:rPr>
          <w:bCs/>
          <w:b/>
        </w:rPr>
        <w:t xml:space="preserve">Turkey</w:t>
      </w:r>
      <w:r>
        <w:t xml:space="preserve">'s performance in PISA assessments is a significant driver of curriculum policy. This report provides data that directly influences the priorities of</w:t>
      </w:r>
      <w:r>
        <w:t xml:space="preserve"> </w:t>
      </w:r>
      <w:r>
        <w:rPr>
          <w:bCs/>
          <w:b/>
        </w:rPr>
        <w:t xml:space="preserve">Curriculum Developers</w:t>
      </w:r>
      <w:r>
        <w:t xml:space="preserve"> </w:t>
      </w:r>
      <w:r>
        <w:t xml:space="preserve">in</w:t>
      </w:r>
      <w:r>
        <w:t xml:space="preserve"> </w:t>
      </w:r>
      <w:r>
        <w:rPr>
          <w:bCs/>
          <w:b/>
        </w:rPr>
        <w:t xml:space="preserve">Istanbul</w:t>
      </w:r>
      <w:r>
        <w:t xml:space="preserve">, a city that often outperforms the national average but still faces challenges in equity. The report highlights areas where Turkish students excel and where they lag, such as reading literacy and scientific problem-solving. Developers use this data to align local curricula with international benchmarks, aiming to improve global competitiveness. It is a critical reference for ensuring that the curriculum in Istanbul prepares students not just for national exams, but for the global workforce.</w:t>
      </w:r>
    </w:p>
    <w:bookmarkEnd w:id="26"/>
    <w:bookmarkStart w:id="27" w:name="inclusive-education-practices"/>
    <w:p>
      <w:pPr>
        <w:pStyle w:val="Heading3"/>
      </w:pPr>
      <w:r>
        <w:t xml:space="preserve">7. Inclusive Education Practices</w:t>
      </w:r>
    </w:p>
    <w:p>
      <w:pPr>
        <w:pStyle w:val="FirstParagraph"/>
      </w:pPr>
      <w:r>
        <w:t xml:space="preserve"> </w:t>
      </w:r>
      <w:r>
        <w:t xml:space="preserve">Şahin, B., &amp; Demir, H. (2022). "Inclusive Curriculum Design for Diverse Learners in Urban Turkey."</w:t>
      </w:r>
      <w:r>
        <w:t xml:space="preserve"> </w:t>
      </w:r>
      <w:r>
        <w:rPr>
          <w:iCs/>
          <w:i/>
        </w:rPr>
        <w:t xml:space="preserve">Journal of Special Education and Rehabilitation</w:t>
      </w:r>
      <w:r>
        <w:t xml:space="preserve">, 15(4), 201-218.</w:t>
      </w:r>
      <w:r>
        <w:t xml:space="preserve"> </w:t>
      </w:r>
    </w:p>
    <w:p>
      <w:pPr>
        <w:pStyle w:val="BodyText"/>
      </w:pPr>
      <w:r>
        <w:t xml:space="preserve">As</w:t>
      </w:r>
      <w:r>
        <w:t xml:space="preserve"> </w:t>
      </w:r>
      <w:r>
        <w:rPr>
          <w:bCs/>
          <w:b/>
        </w:rPr>
        <w:t xml:space="preserve">Istanbul</w:t>
      </w:r>
      <w:r>
        <w:t xml:space="preserve"> </w:t>
      </w:r>
      <w:r>
        <w:t xml:space="preserve">becomes increasingly diverse, the need for inclusive curriculum design has never been greater. This article explores strategies for</w:t>
      </w:r>
      <w:r>
        <w:t xml:space="preserve"> </w:t>
      </w:r>
      <w:r>
        <w:rPr>
          <w:bCs/>
          <w:b/>
        </w:rPr>
        <w:t xml:space="preserve">Curriculum Developers</w:t>
      </w:r>
      <w:r>
        <w:t xml:space="preserve"> </w:t>
      </w:r>
      <w:r>
        <w:t xml:space="preserve">to create learning materials that are accessible to students with disabilities and those from different linguistic backgrounds. It addresses the legal requirements in</w:t>
      </w:r>
      <w:r>
        <w:t xml:space="preserve"> </w:t>
      </w:r>
      <w:r>
        <w:rPr>
          <w:bCs/>
          <w:b/>
        </w:rPr>
        <w:t xml:space="preserve">Turkey</w:t>
      </w:r>
      <w:r>
        <w:t xml:space="preserve"> </w:t>
      </w:r>
      <w:r>
        <w:t xml:space="preserve">regarding inclusive education and provides practical examples of differentiated instruction. For developers working in Istanbul's public and private sectors, this resource is essential for ensuring that the curriculum is equitable and that no student is left behind due to systemic barriers or lack of appropriate educational resources.</w:t>
      </w:r>
    </w:p>
    <w:bookmarkEnd w:id="27"/>
    <w:bookmarkStart w:id="28" w:name="assessment-and-evaluation-strategies"/>
    <w:p>
      <w:pPr>
        <w:pStyle w:val="Heading3"/>
      </w:pPr>
      <w:r>
        <w:t xml:space="preserve">8. Assessment and Evaluation Strategies</w:t>
      </w:r>
    </w:p>
    <w:p>
      <w:pPr>
        <w:pStyle w:val="FirstParagraph"/>
      </w:pPr>
      <w:r>
        <w:t xml:space="preserve"> </w:t>
      </w:r>
      <w:r>
        <w:t xml:space="preserve">Black, P., &amp; Wiliam, D. (2018). "Classroom Assessment and Pedagogy."</w:t>
      </w:r>
      <w:r>
        <w:t xml:space="preserve"> </w:t>
      </w:r>
      <w:r>
        <w:rPr>
          <w:iCs/>
          <w:i/>
        </w:rPr>
        <w:t xml:space="preserve">Assessment in Education: Principles, Policy &amp; Practice</w:t>
      </w:r>
      <w:r>
        <w:t xml:space="preserve">, 25(6), 551-575.</w:t>
      </w:r>
      <w:r>
        <w:t xml:space="preserve"> </w:t>
      </w:r>
    </w:p>
    <w:p>
      <w:pPr>
        <w:pStyle w:val="BodyText"/>
      </w:pPr>
      <w:r>
        <w:t xml:space="preserve">Effective curriculum development in</w:t>
      </w:r>
      <w:r>
        <w:t xml:space="preserve"> </w:t>
      </w:r>
      <w:r>
        <w:rPr>
          <w:bCs/>
          <w:b/>
        </w:rPr>
        <w:t xml:space="preserve">Turkey</w:t>
      </w:r>
      <w:r>
        <w:t xml:space="preserve"> </w:t>
      </w:r>
      <w:r>
        <w:t xml:space="preserve">requires a robust assessment strategy. This text is frequently referenced by</w:t>
      </w:r>
      <w:r>
        <w:t xml:space="preserve"> </w:t>
      </w:r>
      <w:r>
        <w:rPr>
          <w:bCs/>
          <w:b/>
        </w:rPr>
        <w:t xml:space="preserve">Curriculum Developers</w:t>
      </w:r>
      <w:r>
        <w:t xml:space="preserve"> </w:t>
      </w:r>
      <w:r>
        <w:t xml:space="preserve">in</w:t>
      </w:r>
      <w:r>
        <w:t xml:space="preserve"> </w:t>
      </w:r>
      <w:r>
        <w:rPr>
          <w:bCs/>
          <w:b/>
        </w:rPr>
        <w:t xml:space="preserve">Istanbul</w:t>
      </w:r>
      <w:r>
        <w:t xml:space="preserve"> </w:t>
      </w:r>
      <w:r>
        <w:t xml:space="preserve">who are moving away from high-stakes testing towards formative assessment. It provides a framework for integrating assessment into the learning process, allowing for continuous feedback and improvement. In the context of Istanbul's high-pressure academic culture, this resource offers a balanced approach to evaluation that supports student growth rather than merely ranking them. It is a key guide for aligning assessment methods with the competency-based goals of the modern Turkish curriculum.</w:t>
      </w:r>
    </w:p>
    <w:bookmarkEnd w:id="28"/>
    <w:p>
      <w:pPr>
        <w:pStyle w:val="BodyText"/>
      </w:pPr>
      <w:r>
        <w:t xml:space="preserve">© 2023 Educational Resources for Istanbul.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Istanbul, Turkey</dc:title>
  <dc:creator/>
  <dc:language>en</dc:language>
  <cp:keywords/>
  <dcterms:created xsi:type="dcterms:W3CDTF">2026-08-07T17:43:32Z</dcterms:created>
  <dcterms:modified xsi:type="dcterms:W3CDTF">2026-08-07T17:43:32Z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