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Tashkent,</w:t>
      </w:r>
      <w:r>
        <w:t xml:space="preserve"> </w:t>
      </w:r>
      <w:r>
        <w:t xml:space="preserve">Uzbekistan</w:t>
      </w:r>
    </w:p>
    <w:bookmarkStart w:id="21" w:name="X16fabb6f2eae2fdead2f7079c80ca3bed5bb2d3"/>
    <w:p>
      <w:pPr>
        <w:pStyle w:val="Heading1"/>
      </w:pPr>
      <w:r>
        <w:t xml:space="preserve">Annotated Bibliography: Curriculum Development in Tashkent, Uzbekistan</w:t>
      </w:r>
    </w:p>
    <w:p>
      <w:pPr>
        <w:pStyle w:val="FirstParagraph"/>
      </w:pPr>
      <w:r>
        <w:rPr>
          <w:bCs/>
          <w:b/>
        </w:rPr>
        <w:t xml:space="preserve">Introduction:</w:t>
      </w:r>
      <w:r>
        <w:t xml:space="preserve"> </w:t>
      </w:r>
      <w:r>
        <w:t xml:space="preserve">This annotated bibliography compiles key resources relevant to the role of a</w:t>
      </w:r>
      <w:r>
        <w:t xml:space="preserve"> </w:t>
      </w:r>
      <w:r>
        <w:rPr>
          <w:bCs/>
          <w:b/>
        </w:rPr>
        <w:t xml:space="preserve">Curriculum Developer</w:t>
      </w:r>
      <w:r>
        <w:t xml:space="preserve"> </w:t>
      </w:r>
      <w:r>
        <w:t xml:space="preserve">operating within the educational landscape of</w:t>
      </w:r>
      <w:r>
        <w:t xml:space="preserve"> </w:t>
      </w:r>
      <w:r>
        <w:rPr>
          <w:bCs/>
          <w:b/>
        </w:rPr>
        <w:t xml:space="preserve">Tashkent, Uzbekistan</w:t>
      </w:r>
      <w:r>
        <w:t xml:space="preserve">. The selection focuses on the ongoing educational reforms in Uzbekistan, the integration of modern pedagogical standards, and the specific challenges of curriculum design in a post-Soviet context transitioning toward global competency frameworks. These sources provide a foundation for developing curricula that are culturally responsive, technologically integrated, and aligned with national strategic goals.</w:t>
      </w:r>
    </w:p>
    <w:bookmarkStart w:id="20" w:name="references"/>
    <w:p>
      <w:pPr>
        <w:pStyle w:val="Heading2"/>
      </w:pPr>
      <w:r>
        <w:t xml:space="preserve">References</w:t>
      </w:r>
    </w:p>
    <w:p>
      <w:pPr>
        <w:pStyle w:val="FirstParagraph"/>
      </w:pPr>
      <w:r>
        <w:t xml:space="preserve">Government of the Republic of Uzbekistan. (2020).</w:t>
      </w:r>
      <w:r>
        <w:t xml:space="preserve"> </w:t>
      </w:r>
      <w:r>
        <w:rPr>
          <w:iCs/>
          <w:i/>
        </w:rPr>
        <w:t xml:space="preserve">Concept of the Development of Education in the Republic of Uzbekistan for 2022-2026</w:t>
      </w:r>
      <w:r>
        <w:t xml:space="preserve">. Tashkent: Ministry of Public Education.</w:t>
      </w:r>
    </w:p>
    <w:p>
      <w:pPr>
        <w:pStyle w:val="BodyText"/>
      </w:pPr>
      <w:r>
        <w:t xml:space="preserve">This official government document outlines the strategic direction for educational reform in Uzbekistan. For a</w:t>
      </w:r>
      <w:r>
        <w:t xml:space="preserve"> </w:t>
      </w:r>
      <w:r>
        <w:rPr>
          <w:bCs/>
          <w:b/>
        </w:rPr>
        <w:t xml:space="preserve">Curriculum Developer</w:t>
      </w:r>
      <w:r>
        <w:t xml:space="preserve"> </w:t>
      </w:r>
      <w:r>
        <w:t xml:space="preserve">in</w:t>
      </w:r>
      <w:r>
        <w:t xml:space="preserve"> </w:t>
      </w:r>
      <w:r>
        <w:rPr>
          <w:bCs/>
          <w:b/>
        </w:rPr>
        <w:t xml:space="preserve">Tashkent</w:t>
      </w:r>
      <w:r>
        <w:t xml:space="preserve">, this text is indispensable as it defines the national priorities, including the shift from rote memorization to competency-based learning. The document emphasizes the need for modernizing educational content to meet international standards while preserving national identity. It provides the regulatory framework within which all new curricula must be designed, ensuring alignment with state objectives regarding digital literacy, critical thinking, and vocational readiness.</w:t>
      </w:r>
    </w:p>
    <w:p>
      <w:pPr>
        <w:pStyle w:val="BodyText"/>
      </w:pPr>
      <w:r>
        <w:t xml:space="preserve">Keywords: National Policy, Educational Reform, Strategic Planning, Uzbekistan Education.</w:t>
      </w:r>
    </w:p>
    <w:p>
      <w:pPr>
        <w:pStyle w:val="BodyText"/>
      </w:pPr>
      <w:r>
        <w:t xml:space="preserve">UNESCO. (2021).</w:t>
      </w:r>
      <w:r>
        <w:t xml:space="preserve"> </w:t>
      </w:r>
      <w:r>
        <w:rPr>
          <w:iCs/>
          <w:i/>
        </w:rPr>
        <w:t xml:space="preserve">Education in Uzbekistan: Progress and Challenges in Curriculum Modernization</w:t>
      </w:r>
      <w:r>
        <w:t xml:space="preserve">. Paris: UNESCO Publishing.</w:t>
      </w:r>
    </w:p>
    <w:p>
      <w:pPr>
        <w:pStyle w:val="BodyText"/>
      </w:pPr>
      <w:r>
        <w:t xml:space="preserve">This report offers an external, expert perspective on the educational transformations occurring in Uzbekistan. It critically analyzes the implementation of new curricula in major urban centers like</w:t>
      </w:r>
      <w:r>
        <w:t xml:space="preserve"> </w:t>
      </w:r>
      <w:r>
        <w:rPr>
          <w:bCs/>
          <w:b/>
        </w:rPr>
        <w:t xml:space="preserve">Tashkent</w:t>
      </w:r>
      <w:r>
        <w:t xml:space="preserve">. The publication highlights the gap between policy intent and classroom reality, offering valuable insights for a</w:t>
      </w:r>
      <w:r>
        <w:t xml:space="preserve"> </w:t>
      </w:r>
      <w:r>
        <w:rPr>
          <w:bCs/>
          <w:b/>
        </w:rPr>
        <w:t xml:space="preserve">Curriculum Developer</w:t>
      </w:r>
      <w:r>
        <w:t xml:space="preserve"> </w:t>
      </w:r>
      <w:r>
        <w:t xml:space="preserve">regarding teacher training needs and resource allocation. It discusses the importance of inclusive education and the integration of global citizenship education into local syllabi, providing a comparative framework against other Central Asian nations.</w:t>
      </w:r>
    </w:p>
    <w:p>
      <w:pPr>
        <w:pStyle w:val="BodyText"/>
      </w:pPr>
      <w:r>
        <w:t xml:space="preserve">Keywords: UNESCO, Global Standards, Implementation Challenges, Comparative Education.</w:t>
      </w:r>
    </w:p>
    <w:p>
      <w:pPr>
        <w:pStyle w:val="BodyText"/>
      </w:pPr>
      <w:r>
        <w:t xml:space="preserve">Karimov, A., &amp; Nurmatov, B. (2022). "Integrating Digital Technologies into the School Curriculum of Tashkent."</w:t>
      </w:r>
      <w:r>
        <w:t xml:space="preserve"> </w:t>
      </w:r>
      <w:r>
        <w:rPr>
          <w:iCs/>
          <w:i/>
        </w:rPr>
        <w:t xml:space="preserve">Journal of Central Asian Education</w:t>
      </w:r>
      <w:r>
        <w:t xml:space="preserve">, 14(2), 45-62.</w:t>
      </w:r>
    </w:p>
    <w:p>
      <w:pPr>
        <w:pStyle w:val="BodyText"/>
      </w:pPr>
      <w:r>
        <w:t xml:space="preserve">This peer-reviewed article focuses specifically on the technological infrastructure and pedagogical strategies in</w:t>
      </w:r>
      <w:r>
        <w:t xml:space="preserve"> </w:t>
      </w:r>
      <w:r>
        <w:rPr>
          <w:bCs/>
          <w:b/>
        </w:rPr>
        <w:t xml:space="preserve">Tashkent</w:t>
      </w:r>
      <w:r>
        <w:t xml:space="preserve">'s schools. It examines how</w:t>
      </w:r>
      <w:r>
        <w:t xml:space="preserve"> </w:t>
      </w:r>
      <w:r>
        <w:rPr>
          <w:bCs/>
          <w:b/>
        </w:rPr>
        <w:t xml:space="preserve">Curriculum Developers</w:t>
      </w:r>
      <w:r>
        <w:t xml:space="preserve"> </w:t>
      </w:r>
      <w:r>
        <w:t xml:space="preserve">can effectively embed digital literacy and STEM (Science, Technology, Engineering, and Mathematics) components into existing subjects. The authors provide case studies from pilot schools in the capital, demonstrating successful models of blended learning. This resource is crucial for developers aiming to create modern, tech-enabled curricula that prepare students for the digital economy.</w:t>
      </w:r>
    </w:p>
    <w:p>
      <w:pPr>
        <w:pStyle w:val="BodyText"/>
      </w:pPr>
      <w:r>
        <w:t xml:space="preserve">Keywords: Digital Literacy, STEM, Tashkent Schools, Blended Learning.</w:t>
      </w:r>
    </w:p>
    <w:p>
      <w:pPr>
        <w:pStyle w:val="BodyText"/>
      </w:pPr>
      <w:r>
        <w:t xml:space="preserve">Ministry of Public Education of Uzbekistan. (2023).</w:t>
      </w:r>
      <w:r>
        <w:t xml:space="preserve"> </w:t>
      </w:r>
      <w:r>
        <w:rPr>
          <w:iCs/>
          <w:i/>
        </w:rPr>
        <w:t xml:space="preserve">State Educational Standards for General Secondary Education</w:t>
      </w:r>
      <w:r>
        <w:t xml:space="preserve">. Tashkent: State Publishing House.</w:t>
      </w:r>
    </w:p>
    <w:p>
      <w:pPr>
        <w:pStyle w:val="BodyText"/>
      </w:pPr>
      <w:r>
        <w:t xml:space="preserve">This document serves as the technical blueprint for all curriculum design in the country. It details the specific learning outcomes, content requirements, and assessment criteria for each grade level. For a</w:t>
      </w:r>
      <w:r>
        <w:t xml:space="preserve"> </w:t>
      </w:r>
      <w:r>
        <w:rPr>
          <w:bCs/>
          <w:b/>
        </w:rPr>
        <w:t xml:space="preserve">Curriculum Developer</w:t>
      </w:r>
      <w:r>
        <w:t xml:space="preserve"> </w:t>
      </w:r>
      <w:r>
        <w:t xml:space="preserve">working in</w:t>
      </w:r>
      <w:r>
        <w:t xml:space="preserve"> </w:t>
      </w:r>
      <w:r>
        <w:rPr>
          <w:bCs/>
          <w:b/>
        </w:rPr>
        <w:t xml:space="preserve">Tashkent</w:t>
      </w:r>
      <w:r>
        <w:t xml:space="preserve">, this is the primary reference for ensuring compliance. It marks a significant departure from Soviet-era standards by emphasizing soft skills, project-based learning, and student autonomy. Understanding these standards is essential for creating valid and reliable educational materials.</w:t>
      </w:r>
    </w:p>
    <w:p>
      <w:pPr>
        <w:pStyle w:val="BodyText"/>
      </w:pPr>
      <w:r>
        <w:t xml:space="preserve">Keywords: State Standards, Learning Outcomes, Compliance, Secondary Education.</w:t>
      </w:r>
    </w:p>
    <w:p>
      <w:pPr>
        <w:pStyle w:val="BodyText"/>
      </w:pPr>
      <w:r>
        <w:t xml:space="preserve">World Bank. (2022).</w:t>
      </w:r>
      <w:r>
        <w:t xml:space="preserve"> </w:t>
      </w:r>
      <w:r>
        <w:rPr>
          <w:iCs/>
          <w:i/>
        </w:rPr>
        <w:t xml:space="preserve">Uzbekistan: Enhancing Quality and Equity in Education</w:t>
      </w:r>
      <w:r>
        <w:t xml:space="preserve">. Washington, DC: World Bank Group.</w:t>
      </w:r>
    </w:p>
    <w:p>
      <w:pPr>
        <w:pStyle w:val="BodyText"/>
      </w:pPr>
      <w:r>
        <w:t xml:space="preserve">This report analyzes the economic and social drivers behind Uzbekistan's educational reforms. It provides data-driven recommendations for improving curriculum quality and equity. For a</w:t>
      </w:r>
      <w:r>
        <w:t xml:space="preserve"> </w:t>
      </w:r>
      <w:r>
        <w:rPr>
          <w:bCs/>
          <w:b/>
        </w:rPr>
        <w:t xml:space="preserve">Curriculum Developer</w:t>
      </w:r>
      <w:r>
        <w:t xml:space="preserve">, this source is valuable for understanding the broader socio-economic context of</w:t>
      </w:r>
      <w:r>
        <w:t xml:space="preserve"> </w:t>
      </w:r>
      <w:r>
        <w:rPr>
          <w:bCs/>
          <w:b/>
        </w:rPr>
        <w:t xml:space="preserve">Tashkent</w:t>
      </w:r>
      <w:r>
        <w:t xml:space="preserve">, including urban-rural disparities and the need for skills that drive economic growth. It advocates for a curriculum that is flexible and responsive to labor market demands, offering a macro-level perspective that informs micro-level design decisions.</w:t>
      </w:r>
    </w:p>
    <w:p>
      <w:pPr>
        <w:pStyle w:val="BodyText"/>
      </w:pPr>
      <w:r>
        <w:t xml:space="preserve">Keywords: Economic Impact, Equity, Labor Market, Data-Driven Reform.</w:t>
      </w:r>
    </w:p>
    <w:p>
      <w:pPr>
        <w:pStyle w:val="BodyText"/>
      </w:pPr>
      <w:r>
        <w:t xml:space="preserve">Tashkent State Pedagogical University. (2021).</w:t>
      </w:r>
      <w:r>
        <w:t xml:space="preserve"> </w:t>
      </w:r>
      <w:r>
        <w:rPr>
          <w:iCs/>
          <w:i/>
        </w:rPr>
        <w:t xml:space="preserve">Proceedings of the International Conference on Modern Trends in Curriculum Design</w:t>
      </w:r>
      <w:r>
        <w:t xml:space="preserve">. Tashkent: TSPU Press.</w:t>
      </w:r>
    </w:p>
    <w:p>
      <w:pPr>
        <w:pStyle w:val="BodyText"/>
      </w:pPr>
      <w:r>
        <w:t xml:space="preserve">This collection of academic papers reflects the current discourse among educators and researchers in</w:t>
      </w:r>
      <w:r>
        <w:t xml:space="preserve"> </w:t>
      </w:r>
      <w:r>
        <w:rPr>
          <w:bCs/>
          <w:b/>
        </w:rPr>
        <w:t xml:space="preserve">Tashkent</w:t>
      </w:r>
      <w:r>
        <w:t xml:space="preserve">. It covers topics such as competency-based assessment, inclusive curriculum design, and the role of local culture in education. For a</w:t>
      </w:r>
      <w:r>
        <w:t xml:space="preserve"> </w:t>
      </w:r>
      <w:r>
        <w:rPr>
          <w:bCs/>
          <w:b/>
        </w:rPr>
        <w:t xml:space="preserve">Curriculum Developer</w:t>
      </w:r>
      <w:r>
        <w:t xml:space="preserve">, this resource offers practical insights and innovative ideas from local experts who are directly involved in the reform process. It highlights the importance of contextualizing global best practices to fit the cultural and linguistic realities of Uzbekistan.</w:t>
      </w:r>
    </w:p>
    <w:p>
      <w:pPr>
        <w:pStyle w:val="BodyText"/>
      </w:pPr>
      <w:r>
        <w:t xml:space="preserve">Keywords: Academic Research, Local Context, Competency-Based Assessment, TSPU.</w:t>
      </w:r>
    </w:p>
    <w:p>
      <w:pPr>
        <w:pStyle w:val="BodyText"/>
      </w:pPr>
      <w:r>
        <w:t xml:space="preserve">OECD. (2020).</w:t>
      </w:r>
      <w:r>
        <w:t xml:space="preserve"> </w:t>
      </w:r>
      <w:r>
        <w:rPr>
          <w:iCs/>
          <w:i/>
        </w:rPr>
        <w:t xml:space="preserve">PISA in Focus: Skills for Life in Central Asia</w:t>
      </w:r>
      <w:r>
        <w:t xml:space="preserve">. Paris: OECD Publishing.</w:t>
      </w:r>
    </w:p>
    <w:p>
      <w:pPr>
        <w:pStyle w:val="BodyText"/>
      </w:pPr>
      <w:r>
        <w:t xml:space="preserve">While not specific to Uzbekistan alone, this OECD publication provides a benchmark for educational quality in the region. It discusses the importance of reading, mathematics, and science literacy as measured by PISA. For a</w:t>
      </w:r>
      <w:r>
        <w:t xml:space="preserve"> </w:t>
      </w:r>
      <w:r>
        <w:rPr>
          <w:bCs/>
          <w:b/>
        </w:rPr>
        <w:t xml:space="preserve">Curriculum Developer</w:t>
      </w:r>
      <w:r>
        <w:t xml:space="preserve"> </w:t>
      </w:r>
      <w:r>
        <w:t xml:space="preserve">in</w:t>
      </w:r>
      <w:r>
        <w:t xml:space="preserve"> </w:t>
      </w:r>
      <w:r>
        <w:rPr>
          <w:bCs/>
          <w:b/>
        </w:rPr>
        <w:t xml:space="preserve">Tashkent</w:t>
      </w:r>
      <w:r>
        <w:t xml:space="preserve">, this resource is essential for aligning national curricula with international assessment frameworks. It offers evidence-based strategies for fostering critical thinking and problem-solving skills, which are key goals of Uzbekistan's current educational agenda.</w:t>
      </w:r>
    </w:p>
    <w:p>
      <w:pPr>
        <w:pStyle w:val="BodyText"/>
      </w:pPr>
      <w:r>
        <w:t xml:space="preserve">Keywords: PISA, International Benchmarks, Critical Thinking, Regional Comparison.</w:t>
      </w:r>
    </w:p>
    <w:p>
      <w:pPr>
        <w:pStyle w:val="BodyText"/>
      </w:pPr>
      <w:r>
        <w:t xml:space="preserve">Azimova, G. (2023). "Cultural Identity and Globalization in Uzbek School Textbooks."</w:t>
      </w:r>
      <w:r>
        <w:t xml:space="preserve"> </w:t>
      </w:r>
      <w:r>
        <w:rPr>
          <w:iCs/>
          <w:i/>
        </w:rPr>
        <w:t xml:space="preserve">Central Asian Survey</w:t>
      </w:r>
      <w:r>
        <w:t xml:space="preserve">, 42(1), 112-130.</w:t>
      </w:r>
    </w:p>
    <w:p>
      <w:pPr>
        <w:pStyle w:val="BodyText"/>
      </w:pPr>
      <w:r>
        <w:t xml:space="preserve">This article explores the delicate balance between preserving Uzbek cultural heritage and embracing global educational trends. It analyzes recent textbook revisions in</w:t>
      </w:r>
      <w:r>
        <w:t xml:space="preserve"> </w:t>
      </w:r>
      <w:r>
        <w:rPr>
          <w:bCs/>
          <w:b/>
        </w:rPr>
        <w:t xml:space="preserve">Tashkent</w:t>
      </w:r>
      <w:r>
        <w:t xml:space="preserve"> </w:t>
      </w:r>
      <w:r>
        <w:t xml:space="preserve">and their impact on students' national identity. For a</w:t>
      </w:r>
      <w:r>
        <w:t xml:space="preserve"> </w:t>
      </w:r>
      <w:r>
        <w:rPr>
          <w:bCs/>
          <w:b/>
        </w:rPr>
        <w:t xml:space="preserve">Curriculum Developer</w:t>
      </w:r>
      <w:r>
        <w:t xml:space="preserve">, this is a critical resource for ensuring that new curricula are culturally sensitive and relevant. It provides guidance on how to integrate local history, language, and values into a modern, globally-oriented educational framework without compromising academic rigor.</w:t>
      </w:r>
    </w:p>
    <w:p>
      <w:pPr>
        <w:pStyle w:val="BodyText"/>
      </w:pPr>
      <w:r>
        <w:t xml:space="preserve">Keywords: Cultural Identity, Textbook Analysis, Localization, Globalization.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Tashkent, Uzbekistan</dc:title>
  <dc:creator/>
  <dc:language>en</dc:language>
  <cp:keywords/>
  <dcterms:created xsi:type="dcterms:W3CDTF">2026-08-07T01:36:32Z</dcterms:created>
  <dcterms:modified xsi:type="dcterms:W3CDTF">2026-08-07T01:36:32Z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