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Iran</w:t>
      </w:r>
      <w:r>
        <w:t xml:space="preserve"> </w:t>
      </w:r>
      <w:r>
        <w:t xml:space="preserve">(Tehran)</w:t>
      </w:r>
    </w:p>
    <w:bookmarkStart w:id="20" w:name="X90c880e9a3256fe376a5110c76d77b0ab72144d"/>
    <w:p>
      <w:pPr>
        <w:pStyle w:val="Heading1"/>
      </w:pPr>
      <w:r>
        <w:t xml:space="preserve">Annotated Bibliography: The Diplomat in Iran (Tehran)</w:t>
      </w:r>
    </w:p>
    <w:p>
      <w:pPr>
        <w:pStyle w:val="FirstParagraph"/>
      </w:pPr>
      <w:r>
        <w:t xml:space="preserve">This document serves as a curated annotated bibliography focusing on the role, challenges, and historical context of the diplomat operating within the Islamic Republic of Iran, specifically within the capital city of Tehran. The selected sources provide a comprehensive overview of the geopolitical landscape, cultural nuances, and security protocols essential for diplomatic personnel stationed in this complex environment.</w:t>
      </w:r>
    </w:p>
    <w:bookmarkEnd w:id="20"/>
    <w:bookmarkStart w:id="21" w:name="X921f9048f1069eda7aa1ef8244508ce280d66ca"/>
    <w:p>
      <w:pPr>
        <w:pStyle w:val="Heading2"/>
      </w:pPr>
      <w:r>
        <w:t xml:space="preserve">Introduction to the Diplomatic Landscape in Tehran</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Iran</w:t>
      </w:r>
      <w:r>
        <w:t xml:space="preserve"> </w:t>
      </w:r>
      <w:r>
        <w:t xml:space="preserve">is distinct from many other postings due to the unique intersection of ancient cultural heritage, revolutionary ideology, and modern geopolitical tension. Tehran, as the seat of power, presents a specific set of operational challenges. The following bibliography is designed to assist diplomats, researchers, and policy analysts in understanding the multifaceted nature of diplomatic engagement in the region.</w:t>
      </w:r>
    </w:p>
    <w:bookmarkEnd w:id="21"/>
    <w:bookmarkStart w:id="24" w:name="X81703fd74ba9660dcb685791f4c8c4d10b0bccc"/>
    <w:p>
      <w:pPr>
        <w:pStyle w:val="Heading2"/>
      </w:pPr>
      <w:r>
        <w:t xml:space="preserve">Historical Context and the Evolution of Diplomacy</w:t>
      </w:r>
    </w:p>
    <w:bookmarkStart w:id="22" w:name="X0fbc3e86741d1e6d899c08671ce92092e57a362"/>
    <w:p>
      <w:pPr>
        <w:pStyle w:val="Heading3"/>
      </w:pPr>
      <w:r>
        <w:t xml:space="preserve">1. The Hostage Crisis and the Transformation of Trust</w:t>
      </w:r>
    </w:p>
    <w:p>
      <w:pPr>
        <w:pStyle w:val="FirstParagraph"/>
      </w:pPr>
      <w:r>
        <w:t xml:space="preserve"> </w:t>
      </w:r>
      <w:r>
        <w:t xml:space="preserve">Anderson, Jon Lee.</w:t>
      </w:r>
      <w:r>
        <w:t xml:space="preserve"> </w:t>
      </w:r>
      <w:r>
        <w:rPr>
          <w:iCs/>
          <w:i/>
        </w:rPr>
        <w:t xml:space="preserve">Lawrence in Arabia: War, Deceit, Imperial Folly and the Making of the Modern Middle East</w:t>
      </w:r>
      <w:r>
        <w:t xml:space="preserve">. W.W. Norton &amp; Company, 2006. (See also: Anderson's works on the 1979 Embassy Siege).</w:t>
      </w:r>
      <w:r>
        <w:t xml:space="preserve"> </w:t>
      </w:r>
    </w:p>
    <w:p>
      <w:pPr>
        <w:pStyle w:val="BodyText"/>
      </w:pPr>
      <w:r>
        <w:t xml:space="preserve">While Anderson is renowned for his work on Lawrence, his analysis of the 1979 seizure of the U.S. Embassy in Tehran is pivotal for understanding the modern diplomat's reality in Iran. This source details the collapse of diplomatic immunity and the subsequent severing of ties between the United States and Iran. For a diplomat stationed in Tehran today, this text is essential reading to understand the deep-seated historical grievances and the lack of trust that permeates the political atmosphere. It highlights how the failure of diplomatic protocol in the late 1970s reshaped the operational security requirements for all foreign missions in the region.</w:t>
      </w:r>
    </w:p>
    <w:bookmarkEnd w:id="22"/>
    <w:bookmarkStart w:id="23" w:name="Xaa66c93bdd9164aa8120dde2ea9c0db280f085b"/>
    <w:p>
      <w:pPr>
        <w:pStyle w:val="Heading3"/>
      </w:pPr>
      <w:r>
        <w:t xml:space="preserve">2. The Pahlavi Era and Pre-Revolutionary Relations</w:t>
      </w:r>
    </w:p>
    <w:p>
      <w:pPr>
        <w:pStyle w:val="FirstParagraph"/>
      </w:pPr>
      <w:r>
        <w:t xml:space="preserve"> </w:t>
      </w:r>
      <w:r>
        <w:t xml:space="preserve">Abrahamian, Ervand.</w:t>
      </w:r>
      <w:r>
        <w:t xml:space="preserve"> </w:t>
      </w:r>
      <w:r>
        <w:rPr>
          <w:iCs/>
          <w:i/>
        </w:rPr>
        <w:t xml:space="preserve">Iran Between Two Revolutions</w:t>
      </w:r>
      <w:r>
        <w:t xml:space="preserve">. Princeton University Press, 1982.</w:t>
      </w:r>
      <w:r>
        <w:t xml:space="preserve"> </w:t>
      </w:r>
    </w:p>
    <w:p>
      <w:pPr>
        <w:pStyle w:val="BodyText"/>
      </w:pPr>
      <w:r>
        <w:t xml:space="preserve">Abrahamian provides a critical sociological and political history of Iran leading up to the 1979 Revolution. For the contemporary diplomat, understanding the Pahlavi era is crucial to grasping the ideological motivations of the current regime. The book explains the shift from a pro-Western monarchy to an Islamic Republic, offering insights into the domestic pressures that influence Iran's foreign policy. This context is vital for diplomats in Tehran who must navigate a government that defines itself in opposition to Western imperialism, a narrative rooted in the events described by Abrahamian.</w:t>
      </w:r>
    </w:p>
    <w:bookmarkEnd w:id="23"/>
    <w:bookmarkEnd w:id="24"/>
    <w:bookmarkStart w:id="27" w:name="Xdd02a14ae0793052f0f89465a54c40fa9dddfae"/>
    <w:p>
      <w:pPr>
        <w:pStyle w:val="Heading2"/>
      </w:pPr>
      <w:r>
        <w:t xml:space="preserve">Contemporary Geopolitics and Nuclear Diplomacy</w:t>
      </w:r>
    </w:p>
    <w:bookmarkStart w:id="25" w:name="the-jcpoa-and-multilateral-negotiations"/>
    <w:p>
      <w:pPr>
        <w:pStyle w:val="Heading3"/>
      </w:pPr>
      <w:r>
        <w:t xml:space="preserve">3. The JCPOA and Multilateral Negotiations</w:t>
      </w:r>
    </w:p>
    <w:p>
      <w:pPr>
        <w:pStyle w:val="FirstParagraph"/>
      </w:pPr>
      <w:r>
        <w:t xml:space="preserve"> </w:t>
      </w:r>
      <w:r>
        <w:t xml:space="preserve">Fischer, Barbara.</w:t>
      </w:r>
      <w:r>
        <w:t xml:space="preserve"> </w:t>
      </w:r>
      <w:r>
        <w:rPr>
          <w:iCs/>
          <w:i/>
        </w:rPr>
        <w:t xml:space="preserve">The Iran Deal: What It Is, Why It Matters</w:t>
      </w:r>
      <w:r>
        <w:t xml:space="preserve">. Brookings Institution Press, 2016.</w:t>
      </w:r>
      <w:r>
        <w:t xml:space="preserve"> </w:t>
      </w:r>
    </w:p>
    <w:p>
      <w:pPr>
        <w:pStyle w:val="BodyText"/>
      </w:pPr>
      <w:r>
        <w:t xml:space="preserve">This text offers a detailed breakdown of the Joint Comprehensive Plan of Action (JCPOA), the landmark nuclear agreement between Iran and world powers. For a diplomat operating in Tehran, this is a primary reference for understanding the technicalities of sanctions relief, verification protocols, and the delicate balance of international law. Fischer analyzes the diplomatic maneuvering required to reach the agreement and the subsequent challenges in maintaining it. It serves as a practical guide to the high-stakes negotiations that often define the daily work of diplomats in the Iranian capital.</w:t>
      </w:r>
    </w:p>
    <w:bookmarkEnd w:id="25"/>
    <w:bookmarkStart w:id="26" w:name="regional-power-dynamics"/>
    <w:p>
      <w:pPr>
        <w:pStyle w:val="Heading3"/>
      </w:pPr>
      <w:r>
        <w:t xml:space="preserve">4. Regional Power Dynamics</w:t>
      </w:r>
    </w:p>
    <w:p>
      <w:pPr>
        <w:pStyle w:val="FirstParagraph"/>
      </w:pPr>
      <w:r>
        <w:t xml:space="preserve"> </w:t>
      </w:r>
      <w:r>
        <w:t xml:space="preserve">Trita Parsi.</w:t>
      </w:r>
      <w:r>
        <w:t xml:space="preserve"> </w:t>
      </w:r>
      <w:r>
        <w:rPr>
          <w:iCs/>
          <w:i/>
        </w:rPr>
        <w:t xml:space="preserve">Strategic Vision: America and the Crisis in the Middle East</w:t>
      </w:r>
      <w:r>
        <w:t xml:space="preserve">. Basic Books, 2018.</w:t>
      </w:r>
      <w:r>
        <w:t xml:space="preserve"> </w:t>
      </w:r>
    </w:p>
    <w:p>
      <w:pPr>
        <w:pStyle w:val="BodyText"/>
      </w:pPr>
      <w:r>
        <w:t xml:space="preserve">Parsi, a prominent expert on Iran, explores the broader regional implications of Iranian foreign policy. Tehran is not an isolated actor; it is a central hub in a network of influence extending to Lebanon, Syria, Iraq, and Yemen. This book helps the diplomat understand how actions taken in Tehran ripple across the Middle East. It provides strategic context for bilateral meetings, explaining how Iranian officials view their role as a counterbalance to regional rivals. Understanding this "axis of resistance" is critical for effective diplomatic engagement and conflict prevention.</w:t>
      </w:r>
    </w:p>
    <w:bookmarkEnd w:id="26"/>
    <w:bookmarkEnd w:id="27"/>
    <w:bookmarkStart w:id="30" w:name="X6ea62f91b372660463ae246a6a05f965eb1f6af"/>
    <w:p>
      <w:pPr>
        <w:pStyle w:val="Heading2"/>
      </w:pPr>
      <w:r>
        <w:t xml:space="preserve">Cultural Intelligence and Social Navigation</w:t>
      </w:r>
    </w:p>
    <w:bookmarkStart w:id="28" w:name="understanding-iranian-society"/>
    <w:p>
      <w:pPr>
        <w:pStyle w:val="Heading3"/>
      </w:pPr>
      <w:r>
        <w:t xml:space="preserve">5. Understanding Iranian Society</w:t>
      </w:r>
    </w:p>
    <w:p>
      <w:pPr>
        <w:pStyle w:val="FirstParagraph"/>
      </w:pPr>
      <w:r>
        <w:t xml:space="preserve"> </w:t>
      </w:r>
      <w:r>
        <w:t xml:space="preserve">Ashraf, Asef Bayat.</w:t>
      </w:r>
      <w:r>
        <w:t xml:space="preserve"> </w:t>
      </w:r>
      <w:r>
        <w:rPr>
          <w:iCs/>
          <w:i/>
        </w:rPr>
        <w:t xml:space="preserve">Life as Politics: How Ordinary People Change the Middle East</w:t>
      </w:r>
      <w:r>
        <w:t xml:space="preserve">. Stanford University Press, 2013.</w:t>
      </w:r>
      <w:r>
        <w:t xml:space="preserve"> </w:t>
      </w:r>
    </w:p>
    <w:p>
      <w:pPr>
        <w:pStyle w:val="BodyText"/>
      </w:pPr>
      <w:r>
        <w:t xml:space="preserve">Diplomacy in Tehran requires more than political knowledge; it demands cultural intelligence. Bayat’s work examines the social fabric of Iran, focusing on how ordinary citizens navigate state authority. For a diplomat, this insight is invaluable for understanding the gap between official state rhetoric and public sentiment. It aids in building rapport with civil society actors and provides a nuanced view of the population that diplomats may encounter outside formal government channels. This cultural literacy is essential for avoiding missteps and fostering genuine dialogue.</w:t>
      </w:r>
    </w:p>
    <w:bookmarkEnd w:id="28"/>
    <w:bookmarkStart w:id="29" w:name="gender-and-social-norms"/>
    <w:p>
      <w:pPr>
        <w:pStyle w:val="Heading3"/>
      </w:pPr>
      <w:r>
        <w:t xml:space="preserve">6. Gender and Social Norms</w:t>
      </w:r>
    </w:p>
    <w:p>
      <w:pPr>
        <w:pStyle w:val="FirstParagraph"/>
      </w:pPr>
      <w:r>
        <w:t xml:space="preserve"> </w:t>
      </w:r>
      <w:r>
        <w:t xml:space="preserve">Sadeghi-Boroujerdi, Touraj.</w:t>
      </w:r>
      <w:r>
        <w:t xml:space="preserve"> </w:t>
      </w:r>
      <w:r>
        <w:rPr>
          <w:iCs/>
          <w:i/>
        </w:rPr>
        <w:t xml:space="preserve">Iran: A Political History Since 1979</w:t>
      </w:r>
      <w:r>
        <w:t xml:space="preserve">. Routledge, 2013. (Specifically chapters on social policy).</w:t>
      </w:r>
      <w:r>
        <w:t xml:space="preserve"> </w:t>
      </w:r>
    </w:p>
    <w:p>
      <w:pPr>
        <w:pStyle w:val="BodyText"/>
      </w:pPr>
      <w:r>
        <w:t xml:space="preserve">Navigating the social codes of Tehran involves understanding strict gender norms and religious observances. This source outlines the legal and social frameworks governing behavior in public and private spaces. For female diplomats, in particular, this information is critical for personal safety and professional conduct. It details the expectations regarding dress, interaction, and public presence, ensuring that diplomatic personnel can operate effectively without inadvertently violating local laws or cultural sensitivities.</w:t>
      </w:r>
    </w:p>
    <w:bookmarkEnd w:id="29"/>
    <w:bookmarkEnd w:id="30"/>
    <w:bookmarkStart w:id="33" w:name="security-and-operational-protocols"/>
    <w:p>
      <w:pPr>
        <w:pStyle w:val="Heading2"/>
      </w:pPr>
      <w:r>
        <w:t xml:space="preserve">Security and Operational Protocols</w:t>
      </w:r>
    </w:p>
    <w:bookmarkStart w:id="31" w:name="intelligence-and-security-threats"/>
    <w:p>
      <w:pPr>
        <w:pStyle w:val="Heading3"/>
      </w:pPr>
      <w:r>
        <w:t xml:space="preserve">7. Intelligence and Security Threats</w:t>
      </w:r>
    </w:p>
    <w:p>
      <w:pPr>
        <w:pStyle w:val="FirstParagraph"/>
      </w:pPr>
      <w:r>
        <w:t xml:space="preserve"> </w:t>
      </w:r>
      <w:r>
        <w:t xml:space="preserve">Hafez, Taghi.</w:t>
      </w:r>
      <w:r>
        <w:t xml:space="preserve"> </w:t>
      </w:r>
      <w:r>
        <w:rPr>
          <w:iCs/>
          <w:i/>
        </w:rPr>
        <w:t xml:space="preserve">The Islamic Republic of Iran: A Political History</w:t>
      </w:r>
      <w:r>
        <w:t xml:space="preserve">. I.B. Tauris, 2014. (Sections on the IRGC and Intelligence Ministry).</w:t>
      </w:r>
      <w:r>
        <w:t xml:space="preserve"> </w:t>
      </w:r>
    </w:p>
    <w:p>
      <w:pPr>
        <w:pStyle w:val="BodyText"/>
      </w:pPr>
      <w:r>
        <w:t xml:space="preserve">Security is a paramount concern for any diplomat in Tehran. Hafez provides an in-depth analysis of the Islamic Revolutionary Guard Corps (IRGC) and the Ministry of Intelligence and Security. Understanding the structure, reach, and methods of these organizations is essential for maintaining operational security. This text helps diplomats identify potential surveillance risks and understand the internal power struggles that may affect their safety. It is a necessary resource for developing robust security protocols for embassy staff and visitors.</w:t>
      </w:r>
    </w:p>
    <w:bookmarkEnd w:id="31"/>
    <w:bookmarkStart w:id="32" w:name="economic-sanctions-and-daily-operations"/>
    <w:p>
      <w:pPr>
        <w:pStyle w:val="Heading3"/>
      </w:pPr>
      <w:r>
        <w:t xml:space="preserve">8. Economic Sanctions and Daily Operations</w:t>
      </w:r>
    </w:p>
    <w:p>
      <w:pPr>
        <w:pStyle w:val="FirstParagraph"/>
      </w:pPr>
      <w:r>
        <w:t xml:space="preserve"> </w:t>
      </w:r>
      <w:r>
        <w:t xml:space="preserve">Mohseni, Ali.</w:t>
      </w:r>
      <w:r>
        <w:t xml:space="preserve"> </w:t>
      </w:r>
      <w:r>
        <w:rPr>
          <w:iCs/>
          <w:i/>
        </w:rPr>
        <w:t xml:space="preserve">Sanctions and the Iranian Economy</w:t>
      </w:r>
      <w:r>
        <w:t xml:space="preserve">. Oxford University Press, 2020.</w:t>
      </w:r>
      <w:r>
        <w:t xml:space="preserve"> </w:t>
      </w:r>
    </w:p>
    <w:p>
      <w:pPr>
        <w:pStyle w:val="BodyText"/>
      </w:pPr>
      <w:r>
        <w:t xml:space="preserve">The economic environment in Tehran is heavily influenced by international sanctions. This source explains the impact of financial restrictions on trade, banking, and daily life. For a diplomat, this knowledge is crucial for managing embassy logistics, understanding the economic grievances of the Iranian government, and facilitating humanitarian or cultural exchanges within legal boundaries. It provides a realistic picture of the economic constraints that shape diplomatic negotiations and bilateral cooperation.</w:t>
      </w:r>
    </w:p>
    <w:bookmarkEnd w:id="32"/>
    <w:bookmarkEnd w:id="33"/>
    <w:p>
      <w:pPr>
        <w:pStyle w:val="BodyText"/>
      </w:pPr>
      <w:r>
        <w:rPr>
          <w:bCs/>
          <w:b/>
        </w:rPr>
        <w:t xml:space="preserve">Note:</w:t>
      </w:r>
      <w:r>
        <w:t xml:space="preserve"> </w:t>
      </w:r>
      <w:r>
        <w:t xml:space="preserve">This annotated bibliography is intended for educational and professional reference purposes. Diplomatic personnel should always consult current official government guidelines and security advisories before traveling to or operating in Iran.</w:t>
      </w:r>
    </w:p>
    <w:p>
      <w:pPr>
        <w:pStyle w:val="BodyText"/>
      </w:pPr>
      <w:r>
        <w:t xml:space="preserve">© 2023 Diplomatic Resource Center.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Iran (Tehran)</dc:title>
  <dc:creator/>
  <dc:language>en</dc:language>
  <cp:keywords/>
  <dcterms:created xsi:type="dcterms:W3CDTF">2026-08-07T03:44:31Z</dcterms:created>
  <dcterms:modified xsi:type="dcterms:W3CDTF">2026-08-07T03:44:31Z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