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Kuala</w:t>
      </w:r>
      <w:r>
        <w:t xml:space="preserve"> </w:t>
      </w:r>
      <w:r>
        <w:t xml:space="preserve">Lumpur,</w:t>
      </w:r>
      <w:r>
        <w:t xml:space="preserve"> </w:t>
      </w:r>
      <w:r>
        <w:t xml:space="preserve">Malaysia</w:t>
      </w:r>
    </w:p>
    <w:bookmarkStart w:id="32" w:name="X55bae21996b1909ec919aaa154cf8bd1ac16f01"/>
    <w:p>
      <w:pPr>
        <w:pStyle w:val="Heading1"/>
      </w:pPr>
      <w:r>
        <w:t xml:space="preserve">Annotated Bibliography: The Role and Practice of the Doctor General Practitioner in Malaysia Kuala Lumpur</w:t>
      </w:r>
    </w:p>
    <w:p>
      <w:pPr>
        <w:pStyle w:val="FirstParagraph"/>
      </w:pPr>
      <w:r>
        <w:t xml:space="preserve">This annotated bibliography compiles key literature regarding the healthcare landscape in Malaysia, with a specific focus on the private sector and the role of the Doctor General Practitioner (GP) within the bustling metropolis of Kuala Lumpur. As the capital city, Kuala Lumpur presents a unique environment characterized by a high density of private clinics, a diverse multicultural population, and a dual healthcare system where public and private sectors coexist. The following entries explore the regulatory frameworks, clinical challenges, patient expectations, and the evolving scope of practice for GPs operating in this specific urban context.</w:t>
      </w:r>
    </w:p>
    <w:bookmarkStart w:id="22" w:name="X45ece82b558936b99373fc2efe9930e4d2b1d1b"/>
    <w:p>
      <w:pPr>
        <w:pStyle w:val="Heading2"/>
      </w:pPr>
      <w:r>
        <w:t xml:space="preserve">Regulatory Framework and Professional Standards</w:t>
      </w:r>
    </w:p>
    <w:bookmarkStart w:id="20" w:name="X82649321e7034b2f8b1b9c940fee59ab1bbded6"/>
    <w:p>
      <w:pPr>
        <w:pStyle w:val="Heading3"/>
      </w:pPr>
      <w:r>
        <w:t xml:space="preserve">1. The Medical Act and the Malaysian Medical Council</w:t>
      </w:r>
    </w:p>
    <w:p>
      <w:pPr>
        <w:pStyle w:val="FirstParagraph"/>
      </w:pPr>
      <w:r>
        <w:t xml:space="preserve">Malaysian Medical Council. (2023). The Medical Act 1971 and Guidelines for Private Medical Practice. Kuala Lumpur: MMC Publications.</w:t>
      </w:r>
    </w:p>
    <w:p>
      <w:pPr>
        <w:pStyle w:val="BodyText"/>
      </w:pPr>
      <w:r>
        <w:t xml:space="preserve">This foundational document outlines the legal requirements for any Doctor General Practitioner wishing to practice in Malaysia. For a GP in Kuala Lumpur, this text is critical as it details the licensing procedures, the necessity of obtaining a practicing certificate, and the specific regulations governing private clinics. The annotation highlights that Kuala Lumpur, being the administrative center, often sees stricter enforcement of these guidelines compared to rural areas. The document emphasizes patient safety protocols, record-keeping standards, and the ethical obligations of the GP. It serves as the primary reference for understanding the bureaucratic and legal environment in which a GP must operate in the capital.</w:t>
      </w:r>
    </w:p>
    <w:bookmarkEnd w:id="20"/>
    <w:bookmarkStart w:id="21" w:name="Xb192eb1a71928d240035edeed9e1a1b8eca4083"/>
    <w:p>
      <w:pPr>
        <w:pStyle w:val="Heading3"/>
      </w:pPr>
      <w:r>
        <w:t xml:space="preserve">2. Ethical Guidelines for Medical Practitioners</w:t>
      </w:r>
    </w:p>
    <w:p>
      <w:pPr>
        <w:pStyle w:val="FirstParagraph"/>
      </w:pPr>
      <w:r>
        <w:t xml:space="preserve">Malaysian Medical Council. (2021). Ethical Guidelines for Medical Practitioners and Dental Practitioners. Kuala Lumpur: MMC.</w:t>
      </w:r>
    </w:p>
    <w:p>
      <w:pPr>
        <w:pStyle w:val="BodyText"/>
      </w:pPr>
      <w:r>
        <w:t xml:space="preserve">This publication provides the moral compass for the Doctor General Practitioner in Malaysia. In the context of Kuala Lumpur, where the private healthcare market is highly competitive, this text is essential for navigating conflicts of interest, advertising restrictions, and patient confidentiality. The bibliography notes that GPs in KL often deal with a transient population and high-profile patients, making adherence to these ethical guidelines paramount. The document addresses the doctor-patient relationship, ensuring that the GP maintains professional boundaries while delivering care in a commercial setting.</w:t>
      </w:r>
    </w:p>
    <w:bookmarkEnd w:id="21"/>
    <w:bookmarkEnd w:id="22"/>
    <w:bookmarkStart w:id="25" w:name="X3769083226643ec07b8ffd8a7593dcbaaf23476"/>
    <w:p>
      <w:pPr>
        <w:pStyle w:val="Heading2"/>
      </w:pPr>
      <w:r>
        <w:t xml:space="preserve">Clinical Practice and Public Health Challenges</w:t>
      </w:r>
    </w:p>
    <w:bookmarkStart w:id="23" w:name="Xb7a13320d5c58cb4f06ef15d0d6cf8940127cfd"/>
    <w:p>
      <w:pPr>
        <w:pStyle w:val="Heading3"/>
      </w:pPr>
      <w:r>
        <w:t xml:space="preserve">3. Non-Communicable Diseases in Urban Malaysia</w:t>
      </w:r>
    </w:p>
    <w:p>
      <w:pPr>
        <w:pStyle w:val="FirstParagraph"/>
      </w:pPr>
      <w:r>
        <w:t xml:space="preserve">Abdullah, A. S., et al. (2022). "Prevalence and Management of Non-Communicable Diseases Among Urban Adults in Kuala Lumpur."</w:t>
      </w:r>
      <w:r>
        <w:t xml:space="preserve"> </w:t>
      </w:r>
      <w:r>
        <w:rPr>
          <w:iCs/>
          <w:i/>
        </w:rPr>
        <w:t xml:space="preserve">Malaysian Journal of Medicine and Health Sciences</w:t>
      </w:r>
      <w:r>
        <w:t xml:space="preserve">, 18(3), 45-58.</w:t>
      </w:r>
    </w:p>
    <w:p>
      <w:pPr>
        <w:pStyle w:val="BodyText"/>
      </w:pPr>
      <w:r>
        <w:t xml:space="preserve">This peer-reviewed article is highly relevant to the daily practice of a Doctor General Practitioner in Kuala Lumpur. It presents data indicating a high prevalence of diabetes, hypertension, and obesity among the urban population in the capital. The study suggests that GPs in KL are on the front lines of managing these lifestyle-related conditions. The annotation underscores that the fast-paced lifestyle of Kuala Lumpur residents contributes significantly to these health issues. Consequently, the GP's role extends beyond acute care to include chronic disease management, health education, and preventive strategies tailored to the urban demographic.</w:t>
      </w:r>
    </w:p>
    <w:bookmarkEnd w:id="23"/>
    <w:bookmarkStart w:id="24" w:name="X3dab7d034fcc91b951a9cf8fd05585f21da952f"/>
    <w:p>
      <w:pPr>
        <w:pStyle w:val="Heading3"/>
      </w:pPr>
      <w:r>
        <w:t xml:space="preserve">4. Infectious Disease Control in High-Density Areas</w:t>
      </w:r>
    </w:p>
    <w:p>
      <w:pPr>
        <w:pStyle w:val="FirstParagraph"/>
      </w:pPr>
      <w:r>
        <w:t xml:space="preserve">Ministry of Health Malaysia. (2023).</w:t>
      </w:r>
      <w:r>
        <w:t xml:space="preserve"> </w:t>
      </w:r>
      <w:r>
        <w:rPr>
          <w:iCs/>
          <w:i/>
        </w:rPr>
        <w:t xml:space="preserve">Standard Treatment Guidelines for Primary Care Clinics</w:t>
      </w:r>
      <w:r>
        <w:t xml:space="preserve">. Putrajaya: MOH.</w:t>
      </w:r>
    </w:p>
    <w:p>
      <w:pPr>
        <w:pStyle w:val="BodyText"/>
      </w:pPr>
      <w:r>
        <w:t xml:space="preserve">While published by the federal ministry, this guideline is indispensable for the Doctor General Practitioner in Malaysia Kuala Lumpur. Given the high population density and international travel hub status of Kuala Lumpur, GPs must be vigilant regarding infectious diseases. This document provides standardized protocols for diagnosing and treating common infections, as well as managing outbreaks. The bibliography highlights that private GPs in KL often serve as the first point of contact for travelers and expatriates, requiring them to stay updated on global health trends and local epidemiological data provided in this text.</w:t>
      </w:r>
    </w:p>
    <w:bookmarkEnd w:id="24"/>
    <w:bookmarkEnd w:id="25"/>
    <w:bookmarkStart w:id="28" w:name="X8f922ce2429d210b8d55108c57a1cd8cf727560"/>
    <w:p>
      <w:pPr>
        <w:pStyle w:val="Heading2"/>
      </w:pPr>
      <w:r>
        <w:t xml:space="preserve">Patient Demographics and Healthcare Access</w:t>
      </w:r>
    </w:p>
    <w:bookmarkStart w:id="26" w:name="Xa58f6086ca2dee68a9d3bdbaecdc1aedb09d7e0"/>
    <w:p>
      <w:pPr>
        <w:pStyle w:val="Heading3"/>
      </w:pPr>
      <w:r>
        <w:t xml:space="preserve">5. The Private Healthcare Sector in Malaysia</w:t>
      </w:r>
    </w:p>
    <w:p>
      <w:pPr>
        <w:pStyle w:val="FirstParagraph"/>
      </w:pPr>
      <w:r>
        <w:t xml:space="preserve">World Bank. (2022).</w:t>
      </w:r>
      <w:r>
        <w:t xml:space="preserve"> </w:t>
      </w:r>
      <w:r>
        <w:rPr>
          <w:iCs/>
          <w:i/>
        </w:rPr>
        <w:t xml:space="preserve">Malaysia Economic Monitor: Strengthening the Healthcare System</w:t>
      </w:r>
      <w:r>
        <w:t xml:space="preserve">. Washington, DC: World Bank Group.</w:t>
      </w:r>
    </w:p>
    <w:p>
      <w:pPr>
        <w:pStyle w:val="BodyText"/>
      </w:pPr>
      <w:r>
        <w:t xml:space="preserve">This report offers a macroeconomic perspective on the healthcare system in Malaysia, with significant insights into the private sector dominance in Kuala Lumpur. It explains why a large portion of the population in the capital opts for private Doctor General Practitioner services despite the availability of public hospitals. The annotation points out that factors such as shorter waiting times, perceived higher quality of service, and insurance coverage drive this demand. For a GP in KL, understanding this market dynamic is crucial for business sustainability and patient acquisition. The report also touches upon the cost implications for patients and the role of GPs in cost-effective care delivery.</w:t>
      </w:r>
    </w:p>
    <w:bookmarkEnd w:id="26"/>
    <w:bookmarkStart w:id="27" w:name="X436b14438624722c420200a0e3f78de25ffa279"/>
    <w:p>
      <w:pPr>
        <w:pStyle w:val="Heading3"/>
      </w:pPr>
      <w:r>
        <w:t xml:space="preserve">6. Cultural Competence in Multicultural Kuala Lumpur</w:t>
      </w:r>
    </w:p>
    <w:p>
      <w:pPr>
        <w:pStyle w:val="FirstParagraph"/>
      </w:pPr>
      <w:r>
        <w:t xml:space="preserve">Tan, L. K., &amp; Lee, S. M. (2021). "Cultural Competence and Patient Satisfaction in Primary Care: A Study in Kuala Lumpur."</w:t>
      </w:r>
      <w:r>
        <w:t xml:space="preserve"> </w:t>
      </w:r>
      <w:r>
        <w:rPr>
          <w:iCs/>
          <w:i/>
        </w:rPr>
        <w:t xml:space="preserve">Journal of Medical Ethics and Practice</w:t>
      </w:r>
      <w:r>
        <w:t xml:space="preserve">, 12(2), 112-125.</w:t>
      </w:r>
    </w:p>
    <w:p>
      <w:pPr>
        <w:pStyle w:val="BodyText"/>
      </w:pPr>
      <w:r>
        <w:t xml:space="preserve">Kuala Lumpur is a melting pot of Malay, Chinese, Indian, and indigenous cultures, as well as a large expatriate community. This study emphasizes the importance of cultural competence for the Doctor General Practitioner in Malaysia Kuala Lumpur. The research indicates that patient satisfaction is significantly higher when GPs demonstrate an understanding of cultural beliefs regarding health, illness, and treatment. The annotation suggests that GPs in KL must be adept at communicating across language barriers and respecting diverse religious practices. This literature supports the need for continuous professional development in intercultural communication for practitioners in the capital.</w:t>
      </w:r>
    </w:p>
    <w:bookmarkEnd w:id="27"/>
    <w:bookmarkEnd w:id="28"/>
    <w:bookmarkStart w:id="31" w:name="X0a790b5cc1997fcf79468db432fd97d4d2ee0e4"/>
    <w:p>
      <w:pPr>
        <w:pStyle w:val="Heading2"/>
      </w:pPr>
      <w:r>
        <w:t xml:space="preserve">Technological Integration and Future Trends</w:t>
      </w:r>
    </w:p>
    <w:bookmarkStart w:id="29" w:name="Xfb2dbee21c6dd8e17388204205e0cb542a0f828"/>
    <w:p>
      <w:pPr>
        <w:pStyle w:val="Heading3"/>
      </w:pPr>
      <w:r>
        <w:t xml:space="preserve">7. Telemedicine and Digital Health in Malaysia</w:t>
      </w:r>
    </w:p>
    <w:p>
      <w:pPr>
        <w:pStyle w:val="FirstParagraph"/>
      </w:pPr>
      <w:r>
        <w:t xml:space="preserve">Health Ministry Malaysia. (2023).</w:t>
      </w:r>
      <w:r>
        <w:t xml:space="preserve"> </w:t>
      </w:r>
      <w:r>
        <w:rPr>
          <w:iCs/>
          <w:i/>
        </w:rPr>
        <w:t xml:space="preserve">Telemedicine Guidelines for Private Practitioners</w:t>
      </w:r>
      <w:r>
        <w:t xml:space="preserve">. Kuala Lumpur: MOH Digital Health Division.</w:t>
      </w:r>
    </w:p>
    <w:p>
      <w:pPr>
        <w:pStyle w:val="BodyText"/>
      </w:pPr>
      <w:r>
        <w:t xml:space="preserve">This document outlines the regulatory framework for telemedicine, a rapidly growing field for the Doctor General Practitioner in Malaysia Kuala Lumpur. Post-pandemic, the adoption of digital health tools has accelerated, allowing GPs in the capital to reach patients remotely. The annotation highlights that Kuala Lumpur's robust internet infrastructure makes it an ideal location for telemedicine practices. The guidelines cover issues such as digital consent, data privacy, and the scope of remote diagnosis. This is essential reading for GPs looking to modernize their practice and offer flexible care options to busy urban professionals.</w:t>
      </w:r>
    </w:p>
    <w:bookmarkEnd w:id="29"/>
    <w:bookmarkStart w:id="30" w:name="continuing-medical-education-for-gps"/>
    <w:p>
      <w:pPr>
        <w:pStyle w:val="Heading3"/>
      </w:pPr>
      <w:r>
        <w:t xml:space="preserve">8. Continuing Medical Education for GPs</w:t>
      </w:r>
    </w:p>
    <w:p>
      <w:pPr>
        <w:pStyle w:val="FirstParagraph"/>
      </w:pPr>
      <w:r>
        <w:t xml:space="preserve">Malaysian Academy of Family Physicians. (2022).</w:t>
      </w:r>
      <w:r>
        <w:t xml:space="preserve"> </w:t>
      </w:r>
      <w:r>
        <w:rPr>
          <w:iCs/>
          <w:i/>
        </w:rPr>
        <w:t xml:space="preserve">CPD Requirements and Curriculum for General Practitioners</w:t>
      </w:r>
      <w:r>
        <w:t xml:space="preserve">. Kuala Lumpur: MAFP.</w:t>
      </w:r>
    </w:p>
    <w:p>
      <w:pPr>
        <w:pStyle w:val="BodyText"/>
      </w:pPr>
      <w:r>
        <w:t xml:space="preserve">To maintain their license and ensure high-quality care, every Doctor General Practitioner in Malaysia must engage in Continuing Professional Development (CPD). This publication by the Malaysian Academy of Family Physicians details the required hours and topics for GPs. In the context of Kuala Lumpur, where medical knowledge and technology evolve rapidly, this document is vital. The annotation notes that MAFP frequently hosts conferences and workshops in KL, providing GPs with opportunities to network and learn. Staying current with these requirements ensures that GPs in the capital remain competent and trusted by their patients.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Kuala Lumpur, Malaysia</dc:title>
  <dc:creator/>
  <dc:language>en</dc:language>
  <cp:keywords/>
  <dcterms:created xsi:type="dcterms:W3CDTF">2026-08-07T14:28:19Z</dcterms:created>
  <dcterms:modified xsi:type="dcterms:W3CDTF">2026-08-07T14:28:19Z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