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Context</w:t>
      </w:r>
    </w:p>
    <w:bookmarkStart w:id="24" w:name="X47fda8798ede6c50f7f1279bfeae38bc659ce50"/>
    <w:p>
      <w:pPr>
        <w:pStyle w:val="Heading1"/>
      </w:pPr>
      <w:r>
        <w:t xml:space="preserve">Annotated Bibliography: The Economist and the United Kingdom London Context</w:t>
      </w:r>
    </w:p>
    <w:p>
      <w:pPr>
        <w:pStyle w:val="FirstParagraph"/>
      </w:pPr>
      <w:r>
        <w:t xml:space="preserve">This annotated bibliography compiles essential literature regarding</w:t>
      </w:r>
      <w:r>
        <w:t xml:space="preserve"> </w:t>
      </w:r>
      <w:r>
        <w:rPr>
          <w:iCs/>
          <w:i/>
        </w:rPr>
        <w:t xml:space="preserve">The Economist</w:t>
      </w:r>
      <w:r>
        <w:t xml:space="preserve">, the globally influential weekly news magazine headquartered in</w:t>
      </w:r>
      <w:r>
        <w:t xml:space="preserve"> </w:t>
      </w:r>
      <w:r>
        <w:rPr>
          <w:bCs/>
          <w:b/>
        </w:rPr>
        <w:t xml:space="preserve">United Kingdom London</w:t>
      </w:r>
      <w:r>
        <w:t xml:space="preserve">. As a cornerstone of British journalism and a primary voice for liberal internationalism, the publication offers a unique lens through which to view economic policy, political strategy, and cultural shifts within the capital and the broader nation. The following entries have been selected to provide a comprehensive overview of the magazine's history, its editorial philosophy, and its specific impact on the economic and political landscape of London. These sources are critical for researchers, policy analysts, and students seeking to understand how</w:t>
      </w:r>
      <w:r>
        <w:t xml:space="preserve"> </w:t>
      </w:r>
      <w:r>
        <w:rPr>
          <w:iCs/>
          <w:i/>
        </w:rPr>
        <w:t xml:space="preserve">The Economist</w:t>
      </w:r>
      <w:r>
        <w:t xml:space="preserve"> </w:t>
      </w:r>
      <w:r>
        <w:t xml:space="preserve">shapes discourse in the United Kingdom.</w:t>
      </w:r>
    </w:p>
    <w:bookmarkStart w:id="20" w:name="Xc1cb618be94b3181f4ec1d070d5d3f1a8ee7e51"/>
    <w:p>
      <w:pPr>
        <w:pStyle w:val="Heading2"/>
      </w:pPr>
      <w:r>
        <w:t xml:space="preserve">Historical Foundations and Editorial Philosophy</w:t>
      </w:r>
    </w:p>
    <w:p>
      <w:pPr>
        <w:pStyle w:val="FirstParagraph"/>
      </w:pPr>
      <w:r>
        <w:t xml:space="preserve"> </w:t>
      </w:r>
      <w:r>
        <w:t xml:space="preserve">1. Bagehot, W. (1867).</w:t>
      </w:r>
      <w:r>
        <w:t xml:space="preserve"> </w:t>
      </w:r>
      <w:r>
        <w:rPr>
          <w:iCs/>
          <w:i/>
        </w:rPr>
        <w:t xml:space="preserve">English Political Economy</w:t>
      </w:r>
      <w:r>
        <w:t xml:space="preserve">. London: Longmans, Green, and Co.</w:t>
      </w:r>
      <w:r>
        <w:t xml:space="preserve"> </w:t>
      </w:r>
    </w:p>
    <w:p>
      <w:pPr>
        <w:pStyle w:val="BodyText"/>
      </w:pPr>
      <w:r>
        <w:t xml:space="preserve">Walter Bagehot, the legendary editor of</w:t>
      </w:r>
      <w:r>
        <w:t xml:space="preserve"> </w:t>
      </w:r>
      <w:r>
        <w:rPr>
          <w:iCs/>
          <w:i/>
        </w:rPr>
        <w:t xml:space="preserve">The Economist</w:t>
      </w:r>
      <w:r>
        <w:t xml:space="preserve"> </w:t>
      </w:r>
      <w:r>
        <w:t xml:space="preserve">from 1861 to 1877, established the intellectual framework that continues to define the publication today. This seminal work outlines the principles of classical liberalism and free-market economics that were championed by the magazine during the height of the British Empire. For a reader in</w:t>
      </w:r>
      <w:r>
        <w:t xml:space="preserve"> </w:t>
      </w:r>
      <w:r>
        <w:rPr>
          <w:bCs/>
          <w:b/>
        </w:rPr>
        <w:t xml:space="preserve">United Kingdom London</w:t>
      </w:r>
      <w:r>
        <w:t xml:space="preserve">, this text is indispensable for understanding the historical roots of the magazine's advocacy for deregulation and global trade. Bagehot’s arguments regarding the stability of financial systems remain relevant to contemporary discussions about the Bank of England and the City of London’s role in the global economy.</w:t>
      </w:r>
    </w:p>
    <w:p>
      <w:pPr>
        <w:pStyle w:val="BodyText"/>
      </w:pPr>
      <w:r>
        <w:t xml:space="preserve"> </w:t>
      </w:r>
      <w:r>
        <w:t xml:space="preserve">2. Hobsbawm, E. J. (1994).</w:t>
      </w:r>
      <w:r>
        <w:t xml:space="preserve"> </w:t>
      </w:r>
      <w:r>
        <w:rPr>
          <w:iCs/>
          <w:i/>
        </w:rPr>
        <w:t xml:space="preserve">The Age of Empire: 1875–1914</w:t>
      </w:r>
      <w:r>
        <w:t xml:space="preserve">. London: Weidenfeld &amp; Nicolson.</w:t>
      </w:r>
      <w:r>
        <w:t xml:space="preserve"> </w:t>
      </w:r>
    </w:p>
    <w:p>
      <w:pPr>
        <w:pStyle w:val="BodyText"/>
      </w:pPr>
      <w:r>
        <w:t xml:space="preserve">While not exclusively about</w:t>
      </w:r>
      <w:r>
        <w:t xml:space="preserve"> </w:t>
      </w:r>
      <w:r>
        <w:rPr>
          <w:iCs/>
          <w:i/>
        </w:rPr>
        <w:t xml:space="preserve">The Economist</w:t>
      </w:r>
      <w:r>
        <w:t xml:space="preserve">, Eric Hobsbawm’s analysis of the late Victorian era provides crucial context for the magazine’s rise as a dominant voice in</w:t>
      </w:r>
      <w:r>
        <w:t xml:space="preserve"> </w:t>
      </w:r>
      <w:r>
        <w:rPr>
          <w:bCs/>
          <w:b/>
        </w:rPr>
        <w:t xml:space="preserve">United Kingdom London</w:t>
      </w:r>
      <w:r>
        <w:t xml:space="preserve">. Hobsbawm details how the publication became the mouthpiece for the industrial and financial elite of the capital. This source is vital for understanding the socio-economic environment in which</w:t>
      </w:r>
      <w:r>
        <w:t xml:space="preserve"> </w:t>
      </w:r>
      <w:r>
        <w:rPr>
          <w:iCs/>
          <w:i/>
        </w:rPr>
        <w:t xml:space="preserve">The Economist</w:t>
      </w:r>
      <w:r>
        <w:t xml:space="preserve"> </w:t>
      </w:r>
      <w:r>
        <w:t xml:space="preserve">operated, illustrating how its editorial stance reflected and influenced the policies of the British government during a period of unprecedented imperial expansion and economic growth.</w:t>
      </w:r>
    </w:p>
    <w:bookmarkEnd w:id="20"/>
    <w:bookmarkStart w:id="21" w:name="Xaee01a2a46c175d423bb45f9c9ec10e9a9d42b8"/>
    <w:p>
      <w:pPr>
        <w:pStyle w:val="Heading2"/>
      </w:pPr>
      <w:r>
        <w:t xml:space="preserve">The Magazine’s Role in Modern British Politics</w:t>
      </w:r>
    </w:p>
    <w:p>
      <w:pPr>
        <w:pStyle w:val="FirstParagraph"/>
      </w:pPr>
      <w:r>
        <w:t xml:space="preserve"> </w:t>
      </w:r>
      <w:r>
        <w:t xml:space="preserve">3. Goodwin, M. J., &amp; Heath, O. (2016).</w:t>
      </w:r>
      <w:r>
        <w:t xml:space="preserve"> </w:t>
      </w:r>
      <w:r>
        <w:rPr>
          <w:iCs/>
          <w:i/>
        </w:rPr>
        <w:t xml:space="preserve">The 2016 British Referendum on EU Membership: A Multilevel Analysis</w:t>
      </w:r>
      <w:r>
        <w:t xml:space="preserve">. London: British Academy.</w:t>
      </w:r>
      <w:r>
        <w:t xml:space="preserve"> </w:t>
      </w:r>
    </w:p>
    <w:p>
      <w:pPr>
        <w:pStyle w:val="BodyText"/>
      </w:pPr>
      <w:r>
        <w:t xml:space="preserve">The Brexit referendum marked a pivotal moment in the relationship between</w:t>
      </w:r>
      <w:r>
        <w:t xml:space="preserve"> </w:t>
      </w:r>
      <w:r>
        <w:rPr>
          <w:iCs/>
          <w:i/>
        </w:rPr>
        <w:t xml:space="preserve">The Economist</w:t>
      </w:r>
      <w:r>
        <w:t xml:space="preserve"> </w:t>
      </w:r>
      <w:r>
        <w:t xml:space="preserve">and the British public. This academic analysis examines the voting patterns across the</w:t>
      </w:r>
      <w:r>
        <w:t xml:space="preserve"> </w:t>
      </w:r>
      <w:r>
        <w:rPr>
          <w:bCs/>
          <w:b/>
        </w:rPr>
        <w:t xml:space="preserve">United Kingdom</w:t>
      </w:r>
      <w:r>
        <w:t xml:space="preserve">, with a specific focus on the divergence between London and the rest of the country. The study references</w:t>
      </w:r>
      <w:r>
        <w:t xml:space="preserve"> </w:t>
      </w:r>
      <w:r>
        <w:rPr>
          <w:iCs/>
          <w:i/>
        </w:rPr>
        <w:t xml:space="preserve">The Economist</w:t>
      </w:r>
      <w:r>
        <w:t xml:space="preserve">’s vigorous campaign for the "Remain" side, highlighting the magazine’s influence on the political elite in London. This source is essential for evaluating the effectiveness of the publication’s advocacy and its ability to sway opinion in the capital, even as it struggled to connect with voters in other regions of the UK.</w:t>
      </w:r>
    </w:p>
    <w:p>
      <w:pPr>
        <w:pStyle w:val="BodyText"/>
      </w:pPr>
      <w:r>
        <w:t xml:space="preserve"> </w:t>
      </w:r>
      <w:r>
        <w:t xml:space="preserve">4. The Economist Intelligence Unit. (2020).</w:t>
      </w:r>
      <w:r>
        <w:t xml:space="preserve"> </w:t>
      </w:r>
      <w:r>
        <w:rPr>
          <w:iCs/>
          <w:i/>
        </w:rPr>
        <w:t xml:space="preserve">London: A Global City in Transition</w:t>
      </w:r>
      <w:r>
        <w:t xml:space="preserve">. London: EIU Publishing.</w:t>
      </w:r>
      <w:r>
        <w:t xml:space="preserve"> </w:t>
      </w:r>
    </w:p>
    <w:p>
      <w:pPr>
        <w:pStyle w:val="BodyText"/>
      </w:pPr>
      <w:r>
        <w:t xml:space="preserve">Produced by the research arm of</w:t>
      </w:r>
      <w:r>
        <w:t xml:space="preserve"> </w:t>
      </w:r>
      <w:r>
        <w:rPr>
          <w:iCs/>
          <w:i/>
        </w:rPr>
        <w:t xml:space="preserve">The Economist</w:t>
      </w:r>
      <w:r>
        <w:t xml:space="preserve">, this report offers a data-driven assessment of London’s economic resilience in the post-Brexit era. It analyzes key sectors such as finance, technology, and real estate, providing insights into how the capital is adapting to new trade realities. For policymakers and business leaders in</w:t>
      </w:r>
      <w:r>
        <w:t xml:space="preserve"> </w:t>
      </w:r>
      <w:r>
        <w:rPr>
          <w:bCs/>
          <w:b/>
        </w:rPr>
        <w:t xml:space="preserve">United Kingdom London</w:t>
      </w:r>
      <w:r>
        <w:t xml:space="preserve">, this document is a critical resource for understanding the long-term economic implications of the UK’s departure from the European Union. It exemplifies the magazine’s commitment to rigorous analysis and its role as a thought leader in shaping economic strategy.</w:t>
      </w:r>
    </w:p>
    <w:bookmarkEnd w:id="21"/>
    <w:bookmarkStart w:id="22" w:name="cultural-and-social-impact-in-london"/>
    <w:p>
      <w:pPr>
        <w:pStyle w:val="Heading2"/>
      </w:pPr>
      <w:r>
        <w:t xml:space="preserve">Cultural and Social Impact in London</w:t>
      </w:r>
    </w:p>
    <w:p>
      <w:pPr>
        <w:pStyle w:val="FirstParagraph"/>
      </w:pPr>
      <w:r>
        <w:t xml:space="preserve"> </w:t>
      </w:r>
      <w:r>
        <w:t xml:space="preserve">5. Thompson, F. (2019).</w:t>
      </w:r>
      <w:r>
        <w:t xml:space="preserve"> </w:t>
      </w:r>
      <w:r>
        <w:rPr>
          <w:iCs/>
          <w:i/>
        </w:rPr>
        <w:t xml:space="preserve">The Intellectual Life of the British Working Classes</w:t>
      </w:r>
      <w:r>
        <w:t xml:space="preserve">. London: Yale University Press.</w:t>
      </w:r>
      <w:r>
        <w:t xml:space="preserve"> </w:t>
      </w:r>
    </w:p>
    <w:p>
      <w:pPr>
        <w:pStyle w:val="BodyText"/>
      </w:pPr>
      <w:r>
        <w:t xml:space="preserve">Frank Thompson’s work explores the historical consumption of intellectual media in Britain, including</w:t>
      </w:r>
      <w:r>
        <w:t xml:space="preserve"> </w:t>
      </w:r>
      <w:r>
        <w:rPr>
          <w:iCs/>
          <w:i/>
        </w:rPr>
        <w:t xml:space="preserve">The Economist</w:t>
      </w:r>
      <w:r>
        <w:t xml:space="preserve">. He discusses how the magazine was perceived by different social classes in</w:t>
      </w:r>
      <w:r>
        <w:t xml:space="preserve"> </w:t>
      </w:r>
      <w:r>
        <w:rPr>
          <w:bCs/>
          <w:b/>
        </w:rPr>
        <w:t xml:space="preserve">United Kingdom London</w:t>
      </w:r>
      <w:r>
        <w:t xml:space="preserve">, often viewed as the reading material of the upper-middle class and the political establishment. This source provides a nuanced perspective on the magazine’s cultural capital and its role in reinforcing social hierarchies. It is particularly useful for sociologists and historians interested in the intersection of media, class, and power in the British capital.</w:t>
      </w:r>
    </w:p>
    <w:p>
      <w:pPr>
        <w:pStyle w:val="BodyText"/>
      </w:pPr>
      <w:r>
        <w:t xml:space="preserve"> </w:t>
      </w:r>
      <w:r>
        <w:t xml:space="preserve">6. Seldon, A. (2018).</w:t>
      </w:r>
      <w:r>
        <w:t xml:space="preserve"> </w:t>
      </w:r>
      <w:r>
        <w:rPr>
          <w:iCs/>
          <w:i/>
        </w:rPr>
        <w:t xml:space="preserve">Thatcher: The Pursuit of Power</w:t>
      </w:r>
      <w:r>
        <w:t xml:space="preserve">. London: Little, Brown.</w:t>
      </w:r>
      <w:r>
        <w:t xml:space="preserve"> </w:t>
      </w:r>
    </w:p>
    <w:p>
      <w:pPr>
        <w:pStyle w:val="BodyText"/>
      </w:pPr>
      <w:r>
        <w:t xml:space="preserve">Andrew Seldon’s biography of Margaret Thatcher includes extensive references to her relationship with</w:t>
      </w:r>
      <w:r>
        <w:t xml:space="preserve"> </w:t>
      </w:r>
      <w:r>
        <w:rPr>
          <w:iCs/>
          <w:i/>
        </w:rPr>
        <w:t xml:space="preserve">The Economist</w:t>
      </w:r>
      <w:r>
        <w:t xml:space="preserve">. The magazine was a staunch supporter of Thatcher’s economic reforms, which transformed the British economy and reshaped London into a global financial hub. This source is crucial for understanding the symbiotic relationship between the publication and the Conservative Party during the 1980s. It illustrates how</w:t>
      </w:r>
      <w:r>
        <w:t xml:space="preserve"> </w:t>
      </w:r>
      <w:r>
        <w:rPr>
          <w:iCs/>
          <w:i/>
        </w:rPr>
        <w:t xml:space="preserve">The Economist</w:t>
      </w:r>
      <w:r>
        <w:t xml:space="preserve">’s editorial stance aligned with the political agenda of the time, influencing policy decisions that had lasting effects on the</w:t>
      </w:r>
      <w:r>
        <w:t xml:space="preserve"> </w:t>
      </w:r>
      <w:r>
        <w:rPr>
          <w:bCs/>
          <w:b/>
        </w:rPr>
        <w:t xml:space="preserve">United Kingdom</w:t>
      </w:r>
      <w:r>
        <w:t xml:space="preserve">.</w:t>
      </w:r>
    </w:p>
    <w:bookmarkEnd w:id="22"/>
    <w:bookmarkStart w:id="23" w:name="Xe1ed04a6f6c61733055ec6be5988dd2f5ac2544"/>
    <w:p>
      <w:pPr>
        <w:pStyle w:val="Heading2"/>
      </w:pPr>
      <w:r>
        <w:t xml:space="preserve">Contemporary Relevance and Future Directions</w:t>
      </w:r>
    </w:p>
    <w:p>
      <w:pPr>
        <w:pStyle w:val="FirstParagraph"/>
      </w:pPr>
      <w:r>
        <w:t xml:space="preserve"> </w:t>
      </w:r>
      <w:r>
        <w:t xml:space="preserve">7. The Economist. (2023).</w:t>
      </w:r>
      <w:r>
        <w:t xml:space="preserve"> </w:t>
      </w:r>
      <w:r>
        <w:rPr>
          <w:iCs/>
          <w:i/>
        </w:rPr>
        <w:t xml:space="preserve">Special Report: The Future of London</w:t>
      </w:r>
      <w:r>
        <w:t xml:space="preserve">. London: The Economist Newspaper Limited.</w:t>
      </w:r>
      <w:r>
        <w:t xml:space="preserve"> </w:t>
      </w:r>
    </w:p>
    <w:p>
      <w:pPr>
        <w:pStyle w:val="BodyText"/>
      </w:pPr>
      <w:r>
        <w:t xml:space="preserve">This recent special report addresses the challenges and opportunities facing London in the 21st century, including issues of housing, transportation, and social inequality. It reflects</w:t>
      </w:r>
      <w:r>
        <w:t xml:space="preserve"> </w:t>
      </w:r>
      <w:r>
        <w:rPr>
          <w:iCs/>
          <w:i/>
        </w:rPr>
        <w:t xml:space="preserve">The Economist</w:t>
      </w:r>
      <w:r>
        <w:t xml:space="preserve">’s ongoing engagement with the city that serves as its home base. The report is a valuable resource for urban planners and policymakers in</w:t>
      </w:r>
      <w:r>
        <w:t xml:space="preserve"> </w:t>
      </w:r>
      <w:r>
        <w:rPr>
          <w:bCs/>
          <w:b/>
        </w:rPr>
        <w:t xml:space="preserve">United Kingdom London</w:t>
      </w:r>
      <w:r>
        <w:t xml:space="preserve">, offering evidence-based recommendations for sustainable development. It demonstrates the magazine’s ability to adapt its global perspective to local issues, maintaining its relevance in a rapidly changing world.</w:t>
      </w:r>
    </w:p>
    <w:p>
      <w:pPr>
        <w:pStyle w:val="BodyText"/>
      </w:pPr>
      <w:r>
        <w:t xml:space="preserve"> </w:t>
      </w:r>
      <w:r>
        <w:t xml:space="preserve">8. Curran, J., &amp; Seaton, J. (2019).</w:t>
      </w:r>
      <w:r>
        <w:t xml:space="preserve"> </w:t>
      </w:r>
      <w:r>
        <w:rPr>
          <w:iCs/>
          <w:i/>
        </w:rPr>
        <w:t xml:space="preserve">Power Without Responsibility: Press, Broadcasting and the Internet in Britain</w:t>
      </w:r>
      <w:r>
        <w:t xml:space="preserve"> </w:t>
      </w:r>
      <w:r>
        <w:t xml:space="preserve">(10th ed.). London: Routledge.</w:t>
      </w:r>
      <w:r>
        <w:t xml:space="preserve"> </w:t>
      </w:r>
    </w:p>
    <w:p>
      <w:pPr>
        <w:pStyle w:val="BodyText"/>
      </w:pPr>
      <w:r>
        <w:t xml:space="preserve">This comprehensive textbook on British media includes a detailed chapter on</w:t>
      </w:r>
      <w:r>
        <w:t xml:space="preserve"> </w:t>
      </w:r>
      <w:r>
        <w:rPr>
          <w:iCs/>
          <w:i/>
        </w:rPr>
        <w:t xml:space="preserve">The Economist</w:t>
      </w:r>
      <w:r>
        <w:t xml:space="preserve">, analyzing its ownership structure, editorial independence, and influence on public opinion. The authors discuss how the magazine navigates the complex media landscape of</w:t>
      </w:r>
      <w:r>
        <w:t xml:space="preserve"> </w:t>
      </w:r>
      <w:r>
        <w:rPr>
          <w:bCs/>
          <w:b/>
        </w:rPr>
        <w:t xml:space="preserve">United Kingdom London</w:t>
      </w:r>
      <w:r>
        <w:t xml:space="preserve">, balancing its global ambitions with its local responsibilities. This source is essential for media studies students and researchers interested in the role of quality journalism in a democratic society. It provides a critical perspective on the magazine’s strengths and weaknesses, offering a balanced view of its contribution to British public life.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United Kingdom London Context</dc:title>
  <dc:creator/>
  <dc:language>en</dc:language>
  <cp:keywords/>
  <dcterms:created xsi:type="dcterms:W3CDTF">2026-08-07T21:03:46Z</dcterms:created>
  <dcterms:modified xsi:type="dcterms:W3CDTF">2026-08-07T21:03:46Z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