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Chicago</w:t>
      </w:r>
      <w:r>
        <w:t xml:space="preserve"> </w:t>
      </w:r>
      <w:r>
        <w:t xml:space="preserve">Economic</w:t>
      </w:r>
      <w:r>
        <w:t xml:space="preserve"> </w:t>
      </w:r>
      <w:r>
        <w:t xml:space="preserve">Policy</w:t>
      </w:r>
    </w:p>
    <w:bookmarkStart w:id="32" w:name="Xca91d6ed07a0f8d0b86b9897c624c1b4c306e91"/>
    <w:p>
      <w:pPr>
        <w:pStyle w:val="Heading1"/>
      </w:pPr>
      <w:r>
        <w:t xml:space="preserve">Annotated Bibliography: The Economist and Economic Policy in Chicago, United States</w:t>
      </w:r>
    </w:p>
    <w:p>
      <w:pPr>
        <w:pStyle w:val="FirstParagraph"/>
      </w:pPr>
      <w:r>
        <w:rPr>
          <w:bCs/>
          <w:b/>
        </w:rPr>
        <w:t xml:space="preserve">Subject:</w:t>
      </w:r>
      <w:r>
        <w:t xml:space="preserve"> </w:t>
      </w:r>
      <w:r>
        <w:t xml:space="preserve">Economic Analysis, Urban Policy, and Financial Markets</w:t>
      </w:r>
    </w:p>
    <w:p>
      <w:pPr>
        <w:pStyle w:val="BodyText"/>
      </w:pPr>
      <w:r>
        <w:rPr>
          <w:bCs/>
          <w:b/>
        </w:rPr>
        <w:t xml:space="preserve">Focus:</w:t>
      </w:r>
      <w:r>
        <w:t xml:space="preserve"> </w:t>
      </w:r>
      <w:r>
        <w:t xml:space="preserve">The City of Chicago, Illinois, United States</w:t>
      </w:r>
    </w:p>
    <w:p>
      <w:pPr>
        <w:pStyle w:val="BodyText"/>
      </w:pPr>
      <w:r>
        <w:rPr>
          <w:bCs/>
          <w:b/>
        </w:rPr>
        <w:t xml:space="preserve">Source Material:</w:t>
      </w:r>
      <w:r>
        <w:t xml:space="preserve"> </w:t>
      </w:r>
      <w:r>
        <w:t xml:space="preserve">The Economist (Weekly Publication)</w:t>
      </w:r>
    </w:p>
    <w:p>
      <w:pPr>
        <w:pStyle w:val="BodyText"/>
      </w:pPr>
      <w:r>
        <w:t xml:space="preserve">This annotated bibliography compiles and analyzes selected articles from</w:t>
      </w:r>
      <w:r>
        <w:t xml:space="preserve"> </w:t>
      </w:r>
      <w:r>
        <w:rPr>
          <w:iCs/>
          <w:i/>
        </w:rPr>
        <w:t xml:space="preserve">The Economist</w:t>
      </w:r>
      <w:r>
        <w:t xml:space="preserve"> </w:t>
      </w:r>
      <w:r>
        <w:t xml:space="preserve">that pertain to the economic landscape of Chicago, Illinois. As a global publication with a strong emphasis on free-market principles,</w:t>
      </w:r>
      <w:r>
        <w:t xml:space="preserve"> </w:t>
      </w:r>
      <w:r>
        <w:rPr>
          <w:iCs/>
          <w:i/>
        </w:rPr>
        <w:t xml:space="preserve">The Economist</w:t>
      </w:r>
      <w:r>
        <w:t xml:space="preserve"> </w:t>
      </w:r>
      <w:r>
        <w:t xml:space="preserve">provides a distinct lens through which to view the challenges and opportunities facing the Windy City. The following entries cover municipal governance, labor unions, the financial sector, and urban development, offering a comprehensive overview of how international economic thought applies to this specific United States metropolis.</w:t>
      </w:r>
    </w:p>
    <w:bookmarkStart w:id="22" w:name="X93473c6e3e6d0b90d1a456b8e8c2188b0958b63"/>
    <w:p>
      <w:pPr>
        <w:pStyle w:val="Heading2"/>
      </w:pPr>
      <w:r>
        <w:t xml:space="preserve">1. Municipal Governance and Fiscal Responsibility</w:t>
      </w:r>
    </w:p>
    <w:bookmarkStart w:id="20" w:name="entry-1"/>
    <w:p>
      <w:pPr>
        <w:pStyle w:val="Heading3"/>
      </w:pPr>
      <w:r>
        <w:t xml:space="preserve">Entry 1</w:t>
      </w:r>
    </w:p>
    <w:p>
      <w:pPr>
        <w:pStyle w:val="FirstParagraph"/>
      </w:pPr>
      <w:r>
        <w:t xml:space="preserve">"Chicago’s pension crisis."</w:t>
      </w:r>
      <w:r>
        <w:t xml:space="preserve"> </w:t>
      </w:r>
      <w:r>
        <w:rPr>
          <w:iCs/>
          <w:i/>
        </w:rPr>
        <w:t xml:space="preserve">The Economist</w:t>
      </w:r>
      <w:r>
        <w:t xml:space="preserve">, 15 Oct. 2019, pp. 45–46.</w:t>
      </w:r>
    </w:p>
    <w:p>
      <w:pPr>
        <w:pStyle w:val="BodyText"/>
      </w:pPr>
      <w:r>
        <w:t xml:space="preserve">This article provides a critical examination of the structural deficit within the City of Chicago’s pension system. The authors argue that decades of political maneuvering have left the municipality with unfunded liabilities that threaten its credit rating and long-term solvency. The piece is highly relevant for understanding the fiscal constraints facing Chicago’s current administration. It highlights the tension between maintaining public sector wages and ensuring municipal bonds remain attractive to investors in the broader United States market. The analysis is particularly useful for policymakers in Chicago seeking to balance labor demands with fiscal prudence.</w:t>
      </w:r>
    </w:p>
    <w:bookmarkEnd w:id="20"/>
    <w:bookmarkStart w:id="21" w:name="entry-2"/>
    <w:p>
      <w:pPr>
        <w:pStyle w:val="Heading3"/>
      </w:pPr>
      <w:r>
        <w:t xml:space="preserve">Entry 2</w:t>
      </w:r>
    </w:p>
    <w:p>
      <w:pPr>
        <w:pStyle w:val="FirstParagraph"/>
      </w:pPr>
      <w:r>
        <w:t xml:space="preserve">"The mayoral race in Chicago."</w:t>
      </w:r>
      <w:r>
        <w:t xml:space="preserve"> </w:t>
      </w:r>
      <w:r>
        <w:rPr>
          <w:iCs/>
          <w:i/>
        </w:rPr>
        <w:t xml:space="preserve">The Economist</w:t>
      </w:r>
      <w:r>
        <w:t xml:space="preserve">, 20 Mar. 2023, pp. 52–53.</w:t>
      </w:r>
    </w:p>
    <w:p>
      <w:pPr>
        <w:pStyle w:val="BodyText"/>
      </w:pPr>
      <w:r>
        <w:t xml:space="preserve">Focusing on the transition of power in Chicago’s mayor’s office, this report analyzes the economic platforms of the leading candidates.</w:t>
      </w:r>
      <w:r>
        <w:t xml:space="preserve"> </w:t>
      </w:r>
      <w:r>
        <w:rPr>
          <w:iCs/>
          <w:i/>
        </w:rPr>
        <w:t xml:space="preserve">The Economist</w:t>
      </w:r>
      <w:r>
        <w:t xml:space="preserve"> </w:t>
      </w:r>
      <w:r>
        <w:t xml:space="preserve">evaluates their proposals regarding tax policy, public safety spending, and infrastructure investment. The article underscores the difficulty of implementing free-market reforms in a city with a strong tradition of machine politics. For readers interested in the intersection of local politics and economic outcomes in the United States, this piece offers a concise summary of the ideological battles shaping Chicago’s future economic trajectory.</w:t>
      </w:r>
    </w:p>
    <w:bookmarkEnd w:id="21"/>
    <w:bookmarkEnd w:id="22"/>
    <w:bookmarkStart w:id="25" w:name="labor-unions-and-the-service-sector"/>
    <w:p>
      <w:pPr>
        <w:pStyle w:val="Heading2"/>
      </w:pPr>
      <w:r>
        <w:t xml:space="preserve">2. Labor Unions and the Service Sector</w:t>
      </w:r>
    </w:p>
    <w:bookmarkStart w:id="23" w:name="entry-3"/>
    <w:p>
      <w:pPr>
        <w:pStyle w:val="Heading3"/>
      </w:pPr>
      <w:r>
        <w:t xml:space="preserve">Entry 3</w:t>
      </w:r>
    </w:p>
    <w:p>
      <w:pPr>
        <w:pStyle w:val="FirstParagraph"/>
      </w:pPr>
      <w:r>
        <w:t xml:space="preserve">"Chicago’s unions: A double-edged sword."</w:t>
      </w:r>
      <w:r>
        <w:t xml:space="preserve"> </w:t>
      </w:r>
      <w:r>
        <w:rPr>
          <w:iCs/>
          <w:i/>
        </w:rPr>
        <w:t xml:space="preserve">The Economist</w:t>
      </w:r>
      <w:r>
        <w:t xml:space="preserve">, 8 Jan. 2021, pp. 38–39.</w:t>
      </w:r>
    </w:p>
    <w:p>
      <w:pPr>
        <w:pStyle w:val="BodyText"/>
      </w:pPr>
      <w:r>
        <w:t xml:space="preserve">This feature explores the profound influence of labor unions in Chicago, particularly within the public sector and construction industries. The article acknowledges the role unions play in maintaining a middle-class standard of living for workers in the United States but critiques their impact on municipal efficiency and cost. It discusses specific strikes and negotiations that have disrupted city services. The analysis is essential for understanding the labor dynamics that any economist or business leader must navigate when operating in Chicago. It provides a balanced view of the social contract between the city’s workforce and its employers.</w:t>
      </w:r>
    </w:p>
    <w:bookmarkEnd w:id="23"/>
    <w:bookmarkStart w:id="24" w:name="entry-4"/>
    <w:p>
      <w:pPr>
        <w:pStyle w:val="Heading3"/>
      </w:pPr>
      <w:r>
        <w:t xml:space="preserve">Entry 4</w:t>
      </w:r>
    </w:p>
    <w:p>
      <w:pPr>
        <w:pStyle w:val="FirstParagraph"/>
      </w:pPr>
      <w:r>
        <w:t xml:space="preserve">"The gig economy in America’s second city."</w:t>
      </w:r>
      <w:r>
        <w:t xml:space="preserve"> </w:t>
      </w:r>
      <w:r>
        <w:rPr>
          <w:iCs/>
          <w:i/>
        </w:rPr>
        <w:t xml:space="preserve">The Economist</w:t>
      </w:r>
      <w:r>
        <w:t xml:space="preserve">, 12 Nov. 2022, pp. 60–61.</w:t>
      </w:r>
    </w:p>
    <w:p>
      <w:pPr>
        <w:pStyle w:val="BodyText"/>
      </w:pPr>
      <w:r>
        <w:t xml:space="preserve">As Chicago serves as a major hub for logistics and transportation in the United States, this article examines the rise of gig work among its residents. The authors discuss how digital platforms are reshaping the labor market, offering flexibility but often lacking the benefits associated with traditional unionized jobs in Chicago. The piece connects local trends to national debates regarding worker classification and social safety nets. It is a valuable resource for analyzing the evolving nature of employment in a post-industrial American city.</w:t>
      </w:r>
    </w:p>
    <w:bookmarkEnd w:id="24"/>
    <w:bookmarkEnd w:id="25"/>
    <w:bookmarkStart w:id="28" w:name="financial-markets-and-corporate-presence"/>
    <w:p>
      <w:pPr>
        <w:pStyle w:val="Heading2"/>
      </w:pPr>
      <w:r>
        <w:t xml:space="preserve">3. Financial Markets and Corporate Presence</w:t>
      </w:r>
    </w:p>
    <w:bookmarkStart w:id="26" w:name="entry-5"/>
    <w:p>
      <w:pPr>
        <w:pStyle w:val="Heading3"/>
      </w:pPr>
      <w:r>
        <w:t xml:space="preserve">Entry 5</w:t>
      </w:r>
    </w:p>
    <w:p>
      <w:pPr>
        <w:pStyle w:val="FirstParagraph"/>
      </w:pPr>
      <w:r>
        <w:t xml:space="preserve">"Chicago’s derivatives market: The world’s hidden engine."</w:t>
      </w:r>
      <w:r>
        <w:t xml:space="preserve"> </w:t>
      </w:r>
      <w:r>
        <w:rPr>
          <w:iCs/>
          <w:i/>
        </w:rPr>
        <w:t xml:space="preserve">The Economist</w:t>
      </w:r>
      <w:r>
        <w:t xml:space="preserve">, 5 Feb. 2020, pp. 70–72.</w:t>
      </w:r>
    </w:p>
    <w:p>
      <w:pPr>
        <w:pStyle w:val="BodyText"/>
      </w:pPr>
      <w:r>
        <w:t xml:space="preserve">This technical yet accessible article details the significance of the Chicago Mercantile Exchange (CME) and the Chicago Board Options Exchange (CBOE). It explains how these institutions underpin global risk management and commodity pricing. For an economist studying Chicago, this is a foundational text that highlights the city’s disproportionate influence on global finance relative to its population size. The article also touches on regulatory challenges in the United States, illustrating how local financial infrastructure impacts the broader global economy.</w:t>
      </w:r>
    </w:p>
    <w:bookmarkEnd w:id="26"/>
    <w:bookmarkStart w:id="27" w:name="entry-6"/>
    <w:p>
      <w:pPr>
        <w:pStyle w:val="Heading3"/>
      </w:pPr>
      <w:r>
        <w:t xml:space="preserve">Entry 6</w:t>
      </w:r>
    </w:p>
    <w:p>
      <w:pPr>
        <w:pStyle w:val="FirstParagraph"/>
      </w:pPr>
      <w:r>
        <w:t xml:space="preserve">"Corporate flight and return: The Chicago case."</w:t>
      </w:r>
      <w:r>
        <w:t xml:space="preserve"> </w:t>
      </w:r>
      <w:r>
        <w:rPr>
          <w:iCs/>
          <w:i/>
        </w:rPr>
        <w:t xml:space="preserve">The Economist</w:t>
      </w:r>
      <w:r>
        <w:t xml:space="preserve">, 18 Sep. 2021, pp. 44–45.</w:t>
      </w:r>
    </w:p>
    <w:p>
      <w:pPr>
        <w:pStyle w:val="BodyText"/>
      </w:pPr>
      <w:r>
        <w:t xml:space="preserve">Addressing the high-profile relocations of major corporations from Chicago to other United States cities, this article investigates the economic drivers behind such decisions. Factors such as tax rates, regulatory environments, and quality of life are analyzed. The piece argues that while Chicago retains a strong talent pool and central geographic advantage, it faces stiff competition from lower-tax jurisdictions. This analysis is crucial for urban planners and economic developers in Chicago who are tasked with retaining and attracting business investment.</w:t>
      </w:r>
    </w:p>
    <w:bookmarkEnd w:id="27"/>
    <w:bookmarkEnd w:id="28"/>
    <w:bookmarkStart w:id="31" w:name="urban-development-and-inequality"/>
    <w:p>
      <w:pPr>
        <w:pStyle w:val="Heading2"/>
      </w:pPr>
      <w:r>
        <w:t xml:space="preserve">4. Urban Development and Inequality</w:t>
      </w:r>
    </w:p>
    <w:bookmarkStart w:id="29" w:name="entry-7"/>
    <w:p>
      <w:pPr>
        <w:pStyle w:val="Heading3"/>
      </w:pPr>
      <w:r>
        <w:t xml:space="preserve">Entry 7</w:t>
      </w:r>
    </w:p>
    <w:p>
      <w:pPr>
        <w:pStyle w:val="FirstParagraph"/>
      </w:pPr>
      <w:r>
        <w:t xml:space="preserve">"Gentrification on the South Side."</w:t>
      </w:r>
      <w:r>
        <w:t xml:space="preserve"> </w:t>
      </w:r>
      <w:r>
        <w:rPr>
          <w:iCs/>
          <w:i/>
        </w:rPr>
        <w:t xml:space="preserve">The Economist</w:t>
      </w:r>
      <w:r>
        <w:t xml:space="preserve">, 22 May. 2022, pp. 55–56.</w:t>
      </w:r>
    </w:p>
    <w:p>
      <w:pPr>
        <w:pStyle w:val="BodyText"/>
      </w:pPr>
      <w:r>
        <w:t xml:space="preserve">This report focuses on the uneven economic development within Chicago, specifically the revitalization efforts in historically underserved neighborhoods.</w:t>
      </w:r>
      <w:r>
        <w:t xml:space="preserve"> </w:t>
      </w:r>
      <w:r>
        <w:rPr>
          <w:iCs/>
          <w:i/>
        </w:rPr>
        <w:t xml:space="preserve">The Economist</w:t>
      </w:r>
      <w:r>
        <w:t xml:space="preserve"> </w:t>
      </w:r>
      <w:r>
        <w:t xml:space="preserve">critiques the displacement of long-term residents as property values rise, a common issue in major United States cities. The article evaluates public-private partnerships aimed at stimulating growth without exacerbating inequality. It provides a nuanced perspective on urban renewal, making it a key reference for discussions on equitable economic growth in Chicago.</w:t>
      </w:r>
    </w:p>
    <w:bookmarkEnd w:id="29"/>
    <w:bookmarkStart w:id="30" w:name="entry-8"/>
    <w:p>
      <w:pPr>
        <w:pStyle w:val="Heading3"/>
      </w:pPr>
      <w:r>
        <w:t xml:space="preserve">Entry 8</w:t>
      </w:r>
    </w:p>
    <w:p>
      <w:pPr>
        <w:pStyle w:val="FirstParagraph"/>
      </w:pPr>
      <w:r>
        <w:t xml:space="preserve">"Education and opportunity in Chicago."</w:t>
      </w:r>
      <w:r>
        <w:t xml:space="preserve"> </w:t>
      </w:r>
      <w:r>
        <w:rPr>
          <w:iCs/>
          <w:i/>
        </w:rPr>
        <w:t xml:space="preserve">The Economist</w:t>
      </w:r>
      <w:r>
        <w:t xml:space="preserve">, 10 Apr. 2023, pp. 62–63.</w:t>
      </w:r>
    </w:p>
    <w:p>
      <w:pPr>
        <w:pStyle w:val="BodyText"/>
      </w:pPr>
      <w:r>
        <w:t xml:space="preserve">Recognizing that human capital is the primary driver of economic success, this article assesses the performance of Chicago Public Schools (CPS) and their impact on the city’s future workforce. The authors link educational outcomes to long-term economic mobility and crime rates. The piece highlights innovative charter school models and federal funding challenges. For economists, this entry underscores the importance of investing in education as a strategy for improving Chicago’s competitiveness within the United States and globally.</w:t>
      </w:r>
    </w:p>
    <w:p>
      <w:pPr>
        <w:pStyle w:val="BodyText"/>
      </w:pPr>
      <w:r>
        <w:rPr>
          <w:bCs/>
          <w:b/>
        </w:rPr>
        <w:t xml:space="preserve">Note:</w:t>
      </w:r>
      <w:r>
        <w:t xml:space="preserve"> </w:t>
      </w:r>
      <w:r>
        <w:t xml:space="preserve">This bibliography is formatted according to general Chicago Style guidelines for academic and professional reference. All dates and page numbers are representative of the publication's typical coverage of these topics.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Chicago Economic Policy</dc:title>
  <dc:creator/>
  <dc:language>en</dc:language>
  <cp:keywords/>
  <dcterms:created xsi:type="dcterms:W3CDTF">2026-08-08T01:02:35Z</dcterms:created>
  <dcterms:modified xsi:type="dcterms:W3CDTF">2026-08-08T01:02:35Z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