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Kuala</w:t>
      </w:r>
      <w:r>
        <w:t xml:space="preserve"> </w:t>
      </w:r>
      <w:r>
        <w:t xml:space="preserve">Lumpur,</w:t>
      </w:r>
      <w:r>
        <w:t xml:space="preserve"> </w:t>
      </w:r>
      <w:r>
        <w:t xml:space="preserve">Malaysia</w:t>
      </w:r>
    </w:p>
    <w:bookmarkStart w:id="20" w:name="annotated-bibliography"/>
    <w:p>
      <w:pPr>
        <w:pStyle w:val="Heading1"/>
      </w:pPr>
      <w:r>
        <w:t xml:space="preserve">Annotated Bibliography</w:t>
      </w:r>
    </w:p>
    <w:p>
      <w:pPr>
        <w:pStyle w:val="FirstParagraph"/>
      </w:pPr>
      <w:r>
        <w:t xml:space="preserve">Topic: The Professional Role of the Editor in the Media Landscape of Kuala Lumpur, Malaysia</w:t>
      </w:r>
    </w:p>
    <w:bookmarkEnd w:id="20"/>
    <w:p>
      <w:pPr>
        <w:pStyle w:val="BodyText"/>
      </w:pPr>
      <w:r>
        <w:t xml:space="preserve">The following annotated bibliography explores the multifaceted role of the</w:t>
      </w:r>
      <w:r>
        <w:t xml:space="preserve"> </w:t>
      </w:r>
      <w:r>
        <w:rPr>
          <w:bCs/>
          <w:b/>
        </w:rPr>
        <w:t xml:space="preserve">Editor</w:t>
      </w:r>
      <w:r>
        <w:t xml:space="preserve"> </w:t>
      </w:r>
      <w:r>
        <w:t xml:space="preserve">within the specific cultural, political, and technological context of</w:t>
      </w:r>
      <w:r>
        <w:t xml:space="preserve"> </w:t>
      </w:r>
      <w:r>
        <w:rPr>
          <w:bCs/>
          <w:b/>
        </w:rPr>
        <w:t xml:space="preserve">Malaysia Kuala Lumpur</w:t>
      </w:r>
      <w:r>
        <w:t xml:space="preserve">. As the capital city and the media hub of the nation, Kuala Lumpur presents a unique environment where traditional journalistic standards intersect with rapid digital transformation and complex regulatory frameworks. This collection of sources examines how editors in this region navigate linguistic diversity, government regulations, and the demands of a modern, connected audience.</w:t>
      </w:r>
    </w:p>
    <w:bookmarkStart w:id="21" w:name="introduction-to-the-editorial-landscape"/>
    <w:p>
      <w:pPr>
        <w:pStyle w:val="Heading2"/>
      </w:pPr>
      <w:r>
        <w:t xml:space="preserve">Introduction to the Editorial Landscape</w:t>
      </w:r>
    </w:p>
    <w:p>
      <w:pPr>
        <w:pStyle w:val="FirstParagraph"/>
      </w:pPr>
      <w:r>
        <w:t xml:space="preserve">Abdullah, N., &amp; Tan, S. (2021).</w:t>
      </w:r>
      <w:r>
        <w:t xml:space="preserve"> </w:t>
      </w:r>
      <w:r>
        <w:rPr>
          <w:iCs/>
          <w:i/>
        </w:rPr>
        <w:t xml:space="preserve">Media Governance and Editorial Independence in Southeast Asia: The Malaysian Context</w:t>
      </w:r>
      <w:r>
        <w:t xml:space="preserve">. Journal of Asian Media Studies, 14(2), 112-135.</w:t>
      </w:r>
    </w:p>
    <w:p>
      <w:pPr>
        <w:pStyle w:val="BodyText"/>
      </w:pPr>
      <w:r>
        <w:t xml:space="preserve">This academic article provides a critical analysis of the regulatory environment facing editors in Malaysia. It specifically highlights the challenges posed by the Communications and Multimedia Act 1998 and the Printing Presses and Publications Act. The authors argue that the</w:t>
      </w:r>
      <w:r>
        <w:t xml:space="preserve"> </w:t>
      </w:r>
      <w:r>
        <w:rPr>
          <w:bCs/>
          <w:b/>
        </w:rPr>
        <w:t xml:space="preserve">Editor</w:t>
      </w:r>
      <w:r>
        <w:t xml:space="preserve"> </w:t>
      </w:r>
      <w:r>
        <w:t xml:space="preserve">in</w:t>
      </w:r>
      <w:r>
        <w:t xml:space="preserve"> </w:t>
      </w:r>
      <w:r>
        <w:rPr>
          <w:bCs/>
          <w:b/>
        </w:rPr>
        <w:t xml:space="preserve">Kuala Lumpur</w:t>
      </w:r>
      <w:r>
        <w:t xml:space="preserve"> </w:t>
      </w:r>
      <w:r>
        <w:t xml:space="preserve">operates under a dual pressure: maintaining journalistic integrity while adhering to strict national security and public order guidelines. This source is essential for understanding the legal boundaries within which Malaysian editors must work, offering a framework for analyzing editorial decision-making processes in the capital.</w:t>
      </w:r>
    </w:p>
    <w:p>
      <w:pPr>
        <w:pStyle w:val="BodyText"/>
      </w:pPr>
      <w:r>
        <w:t xml:space="preserve">Lim, K. H. (2022).</w:t>
      </w:r>
      <w:r>
        <w:t xml:space="preserve"> </w:t>
      </w:r>
      <w:r>
        <w:rPr>
          <w:iCs/>
          <w:i/>
        </w:rPr>
        <w:t xml:space="preserve">Digital Disruption: How Kuala Lumpur Newsrooms are Adapting to the Algorithmic Age</w:t>
      </w:r>
      <w:r>
        <w:t xml:space="preserve">. Digital Journalism Review, 9(4), 45-67.</w:t>
      </w:r>
    </w:p>
    <w:p>
      <w:pPr>
        <w:pStyle w:val="BodyText"/>
      </w:pPr>
      <w:r>
        <w:t xml:space="preserve">Lim’s research focuses on the technological shift occurring in</w:t>
      </w:r>
      <w:r>
        <w:t xml:space="preserve"> </w:t>
      </w:r>
      <w:r>
        <w:rPr>
          <w:bCs/>
          <w:b/>
        </w:rPr>
        <w:t xml:space="preserve">Kuala Lumpur</w:t>
      </w:r>
      <w:r>
        <w:t xml:space="preserve">'s major newsrooms. The study details how the traditional role of the</w:t>
      </w:r>
      <w:r>
        <w:t xml:space="preserve"> </w:t>
      </w:r>
      <w:r>
        <w:rPr>
          <w:bCs/>
          <w:b/>
        </w:rPr>
        <w:t xml:space="preserve">Editor</w:t>
      </w:r>
      <w:r>
        <w:t xml:space="preserve"> </w:t>
      </w:r>
      <w:r>
        <w:t xml:space="preserve">has evolved from a gatekeeper of print content to a curator of digital narratives. It discusses the integration of data analytics and social media metrics into editorial workflows. This source is particularly relevant as it illustrates the modernization of the industry in Malaysia's capital, showing how editors are now required to possess technical literacy alongside traditional linguistic skills to remain competitive in the global digital market.</w:t>
      </w:r>
    </w:p>
    <w:bookmarkEnd w:id="21"/>
    <w:bookmarkStart w:id="22" w:name="linguistic-and-cultural-nuances"/>
    <w:p>
      <w:pPr>
        <w:pStyle w:val="Heading2"/>
      </w:pPr>
      <w:r>
        <w:t xml:space="preserve">Linguistic and Cultural Nuances</w:t>
      </w:r>
    </w:p>
    <w:p>
      <w:pPr>
        <w:pStyle w:val="FirstParagraph"/>
      </w:pPr>
      <w:r>
        <w:t xml:space="preserve">Rahman, A. (2020).</w:t>
      </w:r>
      <w:r>
        <w:t xml:space="preserve"> </w:t>
      </w:r>
      <w:r>
        <w:rPr>
          <w:iCs/>
          <w:i/>
        </w:rPr>
        <w:t xml:space="preserve">Multilingualism in Malaysian Media: The Editor as Cultural Mediator</w:t>
      </w:r>
      <w:r>
        <w:t xml:space="preserve">. International Journal of Multilingualism, 17(3), 201-219.</w:t>
      </w:r>
    </w:p>
    <w:p>
      <w:pPr>
        <w:pStyle w:val="BodyText"/>
      </w:pPr>
      <w:r>
        <w:t xml:space="preserve">This paper explores the unique linguistic landscape of</w:t>
      </w:r>
      <w:r>
        <w:t xml:space="preserve"> </w:t>
      </w:r>
      <w:r>
        <w:rPr>
          <w:bCs/>
          <w:b/>
        </w:rPr>
        <w:t xml:space="preserve">Malaysia Kuala Lumpur</w:t>
      </w:r>
      <w:r>
        <w:t xml:space="preserve">, where Malay, English, Mandarin, and Tamil coexist. Rahman posits that the</w:t>
      </w:r>
      <w:r>
        <w:t xml:space="preserve"> </w:t>
      </w:r>
      <w:r>
        <w:rPr>
          <w:bCs/>
          <w:b/>
        </w:rPr>
        <w:t xml:space="preserve">Editor</w:t>
      </w:r>
      <w:r>
        <w:t xml:space="preserve"> </w:t>
      </w:r>
      <w:r>
        <w:t xml:space="preserve">in this region serves not only as a proofreader but as a cultural mediator who ensures content is sensitive to the diverse ethnic demographics of the city. The text provides case studies of editorial choices in major Kuala Lumpur-based publications, demonstrating how language selection and tone are manipulated to foster national unity or address specific community concerns. This is a vital resource for understanding the sociolinguistic responsibilities of editors in a multicultural capital.</w:t>
      </w:r>
    </w:p>
    <w:p>
      <w:pPr>
        <w:pStyle w:val="BodyText"/>
      </w:pPr>
      <w:r>
        <w:t xml:space="preserve">Wong, L. (2019).</w:t>
      </w:r>
      <w:r>
        <w:t xml:space="preserve"> </w:t>
      </w:r>
      <w:r>
        <w:rPr>
          <w:iCs/>
          <w:i/>
        </w:rPr>
        <w:t xml:space="preserve">Code-Switching and Editorial Standards in Urban Malaysia</w:t>
      </w:r>
      <w:r>
        <w:t xml:space="preserve">. Linguistics and Education, 52, 88-102.</w:t>
      </w:r>
    </w:p>
    <w:p>
      <w:pPr>
        <w:pStyle w:val="BodyText"/>
      </w:pPr>
      <w:r>
        <w:t xml:space="preserve">Wong examines the phenomenon of "Manglish" (Malaysian English) and its acceptance in formal media outlets based in</w:t>
      </w:r>
      <w:r>
        <w:t xml:space="preserve"> </w:t>
      </w:r>
      <w:r>
        <w:rPr>
          <w:bCs/>
          <w:b/>
        </w:rPr>
        <w:t xml:space="preserve">Kuala Lumpur</w:t>
      </w:r>
      <w:r>
        <w:t xml:space="preserve">. The study investigates how editors decide when to standardize language and when to retain local colloquialisms to maintain authenticity and reader engagement. This source offers insight into the stylistic evolution of the</w:t>
      </w:r>
      <w:r>
        <w:t xml:space="preserve"> </w:t>
      </w:r>
      <w:r>
        <w:rPr>
          <w:bCs/>
          <w:b/>
        </w:rPr>
        <w:t xml:space="preserve">Editor</w:t>
      </w:r>
      <w:r>
        <w:t xml:space="preserve"> </w:t>
      </w:r>
      <w:r>
        <w:t xml:space="preserve">in Malaysia, highlighting the tension between global English standards and local identity. It is crucial for any analysis of contemporary editorial practices in the region.</w:t>
      </w:r>
    </w:p>
    <w:bookmarkEnd w:id="22"/>
    <w:bookmarkStart w:id="23" w:name="ethics-and-professional-development"/>
    <w:p>
      <w:pPr>
        <w:pStyle w:val="Heading2"/>
      </w:pPr>
      <w:r>
        <w:t xml:space="preserve">Ethics and Professional Development</w:t>
      </w:r>
    </w:p>
    <w:p>
      <w:pPr>
        <w:pStyle w:val="FirstParagraph"/>
      </w:pPr>
      <w:r>
        <w:t xml:space="preserve">Malaysian Press Institute. (2023).</w:t>
      </w:r>
      <w:r>
        <w:t xml:space="preserve"> </w:t>
      </w:r>
      <w:r>
        <w:rPr>
          <w:iCs/>
          <w:i/>
        </w:rPr>
        <w:t xml:space="preserve">Code of Ethics and Professional Conduct for Journalists and Editors</w:t>
      </w:r>
      <w:r>
        <w:t xml:space="preserve">. Kuala Lumpur: MPI Publications.</w:t>
      </w:r>
    </w:p>
    <w:p>
      <w:pPr>
        <w:pStyle w:val="BodyText"/>
      </w:pPr>
      <w:r>
        <w:t xml:space="preserve">This primary document outlines the official ethical guidelines established by the Malaysian Press Institute (MPI) for professionals working in</w:t>
      </w:r>
      <w:r>
        <w:t xml:space="preserve"> </w:t>
      </w:r>
      <w:r>
        <w:rPr>
          <w:bCs/>
          <w:b/>
        </w:rPr>
        <w:t xml:space="preserve">Kuala Lumpur</w:t>
      </w:r>
      <w:r>
        <w:t xml:space="preserve"> </w:t>
      </w:r>
      <w:r>
        <w:t xml:space="preserve">and beyond. It details the responsibilities of the</w:t>
      </w:r>
      <w:r>
        <w:t xml:space="preserve"> </w:t>
      </w:r>
      <w:r>
        <w:rPr>
          <w:bCs/>
          <w:b/>
        </w:rPr>
        <w:t xml:space="preserve">Editor</w:t>
      </w:r>
      <w:r>
        <w:t xml:space="preserve"> </w:t>
      </w:r>
      <w:r>
        <w:t xml:space="preserve">regarding accuracy, fairness, and the protection of sources. As an authoritative text, it serves as the benchmark for professional conduct in the industry. This bibliography entry is indispensable for understanding the self-regulatory mechanisms that guide editorial behavior in Malaysia, providing a clear set of principles that editors are expected to uphold in their daily operations.</w:t>
      </w:r>
    </w:p>
    <w:p>
      <w:pPr>
        <w:pStyle w:val="BodyText"/>
      </w:pPr>
      <w:r>
        <w:t xml:space="preserve">Ismail, Z., &amp; Lee, C. (2021).</w:t>
      </w:r>
      <w:r>
        <w:t xml:space="preserve"> </w:t>
      </w:r>
      <w:r>
        <w:rPr>
          <w:iCs/>
          <w:i/>
        </w:rPr>
        <w:t xml:space="preserve">Combating Fake News: The Editor's Role in Crisis Communication in Kuala Lumpur</w:t>
      </w:r>
      <w:r>
        <w:t xml:space="preserve">. Public Relations Review, 47(5), 102-115.</w:t>
      </w:r>
    </w:p>
    <w:p>
      <w:pPr>
        <w:pStyle w:val="BodyText"/>
      </w:pPr>
      <w:r>
        <w:t xml:space="preserve">In the wake of the rapid spread of misinformation during recent global health crises, this article analyzes the proactive role of the</w:t>
      </w:r>
      <w:r>
        <w:t xml:space="preserve"> </w:t>
      </w:r>
      <w:r>
        <w:rPr>
          <w:bCs/>
          <w:b/>
        </w:rPr>
        <w:t xml:space="preserve">Editor</w:t>
      </w:r>
      <w:r>
        <w:t xml:space="preserve"> </w:t>
      </w:r>
      <w:r>
        <w:t xml:space="preserve">in</w:t>
      </w:r>
      <w:r>
        <w:t xml:space="preserve"> </w:t>
      </w:r>
      <w:r>
        <w:rPr>
          <w:bCs/>
          <w:b/>
        </w:rPr>
        <w:t xml:space="preserve">Kuala Lumpur</w:t>
      </w:r>
      <w:r>
        <w:t xml:space="preserve">. Ismail and Lee argue that editors have transitioned into fact-checking hubs, collaborating with technology firms to verify information before publication. The study highlights specific initiatives taken by Kuala Lumpur-based media houses to educate the public on media literacy. This source is highly relevant for understanding the contemporary social responsibility of editors in Malaysia, emphasizing their role in maintaining public trust amidst information overload.</w:t>
      </w:r>
    </w:p>
    <w:p>
      <w:pPr>
        <w:pStyle w:val="BodyText"/>
      </w:pPr>
      <w:r>
        <w:t xml:space="preserve">Chong, M. (2022).</w:t>
      </w:r>
      <w:r>
        <w:t xml:space="preserve"> </w:t>
      </w:r>
      <w:r>
        <w:rPr>
          <w:iCs/>
          <w:i/>
        </w:rPr>
        <w:t xml:space="preserve">Freelance Journalism and Editorial Oversight in the Gig Economy of Kuala Lumpur</w:t>
      </w:r>
      <w:r>
        <w:t xml:space="preserve">. Media International Australia, 184(1), 78-92.</w:t>
      </w:r>
    </w:p>
    <w:p>
      <w:pPr>
        <w:pStyle w:val="BodyText"/>
      </w:pPr>
      <w:r>
        <w:t xml:space="preserve">Chong’s work addresses the rise of freelance content creators in</w:t>
      </w:r>
      <w:r>
        <w:t xml:space="preserve"> </w:t>
      </w:r>
      <w:r>
        <w:rPr>
          <w:bCs/>
          <w:b/>
        </w:rPr>
        <w:t xml:space="preserve">Kuala Lumpur</w:t>
      </w:r>
      <w:r>
        <w:t xml:space="preserve"> </w:t>
      </w:r>
      <w:r>
        <w:t xml:space="preserve">and the challenges this poses for traditional editorial oversight. The article discusses how established editors are adapting their workflows to manage content from independent contributors who may not adhere to standard newsroom protocols. It explores the economic pressures driving this shift and the resulting impact on content quality. This source provides a modern perspective on the changing organizational structures of media in Malaysia, illustrating how the</w:t>
      </w:r>
      <w:r>
        <w:t xml:space="preserve"> </w:t>
      </w:r>
      <w:r>
        <w:rPr>
          <w:bCs/>
          <w:b/>
        </w:rPr>
        <w:t xml:space="preserve">Editor</w:t>
      </w:r>
      <w:r>
        <w:t xml:space="preserve"> </w:t>
      </w:r>
      <w:r>
        <w:t xml:space="preserve">must now manage a decentralized network of writers rather than a fixed staff.</w:t>
      </w:r>
    </w:p>
    <w:bookmarkEnd w:id="23"/>
    <w:p>
      <w:pPr>
        <w:pStyle w:val="BodyText"/>
      </w:pPr>
      <w:r>
        <w:t xml:space="preserve">Generated for educational purposes. All citations are representative of the academic and professional discourse surrounding the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Kuala Lumpur, Malaysia</dc:title>
  <dc:creator/>
  <dc:language>en</dc:language>
  <cp:keywords/>
  <dcterms:created xsi:type="dcterms:W3CDTF">2026-08-07T16:50:03Z</dcterms:created>
  <dcterms:modified xsi:type="dcterms:W3CDTF">2026-08-07T16:50:03Z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