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and</w:t>
      </w:r>
      <w:r>
        <w:t xml:space="preserve"> </w:t>
      </w:r>
      <w:r>
        <w:t xml:space="preserve">Practices</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f523575a1af17b62dc5e70a53a010553e4d082e"/>
    <w:p>
      <w:pPr>
        <w:pStyle w:val="Heading1"/>
      </w:pPr>
      <w:r>
        <w:t xml:space="preserve">Annotated Bibliography: The Role of the Editor in the Digital Media Landscape of Riyadh, Saudi Arabia</w:t>
      </w:r>
    </w:p>
    <w:p>
      <w:pPr>
        <w:pStyle w:val="FirstParagraph"/>
      </w:pPr>
      <w:r>
        <w:t xml:space="preserve">A curated collection of resources examining editorial standards, technological tools, and cultural nuances relevant to content creation in the Kingdom.</w:t>
      </w:r>
    </w:p>
    <w:bookmarkEnd w:id="20"/>
    <w:p>
      <w:pPr>
        <w:pStyle w:val="BodyText"/>
      </w:pPr>
      <w:r>
        <w:t xml:space="preserve">The following annotated bibliography provides a comprehensive overview of resources pertinent to the role of the</w:t>
      </w:r>
      <w:r>
        <w:t xml:space="preserve"> </w:t>
      </w:r>
      <w:r>
        <w:rPr>
          <w:bCs/>
          <w:b/>
        </w:rPr>
        <w:t xml:space="preserve">Editor</w:t>
      </w:r>
      <w:r>
        <w:t xml:space="preserve"> </w:t>
      </w:r>
      <w:r>
        <w:t xml:space="preserve">within the specific context of</w:t>
      </w:r>
      <w:r>
        <w:t xml:space="preserve"> </w:t>
      </w:r>
      <w:r>
        <w:rPr>
          <w:bCs/>
          <w:b/>
        </w:rPr>
        <w:t xml:space="preserve">Saudi Arabia Riyadh</w:t>
      </w:r>
      <w:r>
        <w:t xml:space="preserve">. As Riyadh transforms into a global hub for media, technology, and entertainment under the Vision 2030 initiative, the demand for high-quality editorial oversight has never been higher. This document explores the intersection of traditional editorial ethics, modern digital publishing tools, and the unique cultural and linguistic requirements of the Saudi market.</w:t>
      </w:r>
    </w:p>
    <w:p>
      <w:pPr>
        <w:pStyle w:val="BodyText"/>
      </w:pPr>
      <w:r>
        <w:t xml:space="preserve">The selected resources address the necessity for editors to navigate the dual requirements of global best practices and local cultural sensitivity. Whether managing content for a multinational corporation headquartered in Riyadh or a local digital news outlet, the editor serves as the gatekeeper of accuracy, tone, and compliance.</w:t>
      </w:r>
    </w:p>
    <w:bookmarkStart w:id="21" w:name="cultural-and-linguistic-context"/>
    <w:p>
      <w:pPr>
        <w:pStyle w:val="Heading2"/>
      </w:pPr>
      <w:r>
        <w:t xml:space="preserve">1. Cultural and Linguistic Context</w:t>
      </w:r>
    </w:p>
    <w:p>
      <w:pPr>
        <w:pStyle w:val="FirstParagraph"/>
      </w:pPr>
      <w:r>
        <w:t xml:space="preserve">Al-Rasheed, M. (2021).</w:t>
      </w:r>
      <w:r>
        <w:t xml:space="preserve"> </w:t>
      </w:r>
      <w:r>
        <w:rPr>
          <w:iCs/>
          <w:i/>
        </w:rPr>
        <w:t xml:space="preserve">Media and Modernity in the Kingdom: Navigating Cultural Identity in Digital Spaces</w:t>
      </w:r>
      <w:r>
        <w:t xml:space="preserve">. Riyadh: Dar Al-Salam Publishing.</w:t>
      </w:r>
    </w:p>
    <w:p>
      <w:pPr>
        <w:pStyle w:val="BodyText"/>
      </w:pPr>
      <w:r>
        <w:t xml:space="preserve">This seminal work by Dr. Madawi Al-Rasheed provides an in-depth analysis of how media consumption and production have evolved in Saudi Arabia. For the</w:t>
      </w:r>
      <w:r>
        <w:t xml:space="preserve"> </w:t>
      </w:r>
      <w:r>
        <w:rPr>
          <w:bCs/>
          <w:b/>
        </w:rPr>
        <w:t xml:space="preserve">Editor</w:t>
      </w:r>
      <w:r>
        <w:t xml:space="preserve"> </w:t>
      </w:r>
      <w:r>
        <w:t xml:space="preserve">operating in</w:t>
      </w:r>
      <w:r>
        <w:t xml:space="preserve"> </w:t>
      </w:r>
      <w:r>
        <w:rPr>
          <w:bCs/>
          <w:b/>
        </w:rPr>
        <w:t xml:space="preserve">Riyadh</w:t>
      </w:r>
      <w:r>
        <w:t xml:space="preserve">, this text is indispensable. It details the subtle linguistic shifts occurring in Saudi Arabic as it interacts with global English media trends. The author argues that effective editing in the Kingdom requires more than grammatical correctness; it demands a deep understanding of social norms and religious sensitivities. The book offers case studies of media campaigns that succeeded or failed based on their cultural alignment, making it a critical reference for editors ensuring their content resonates with the local audience while maintaining international standards.</w:t>
      </w:r>
    </w:p>
    <w:p>
      <w:pPr>
        <w:pStyle w:val="BodyText"/>
      </w:pPr>
      <w:r>
        <w:t xml:space="preserve">General Commission for Audiovisual Media (GCAM). (2023).</w:t>
      </w:r>
      <w:r>
        <w:t xml:space="preserve"> </w:t>
      </w:r>
      <w:r>
        <w:rPr>
          <w:iCs/>
          <w:i/>
        </w:rPr>
        <w:t xml:space="preserve">Regulatory Framework for Digital Content and Editorial Standards</w:t>
      </w:r>
      <w:r>
        <w:t xml:space="preserve">. Riyadh: GCAM Official Publications.</w:t>
      </w:r>
    </w:p>
    <w:p>
      <w:pPr>
        <w:pStyle w:val="BodyText"/>
      </w:pPr>
      <w:r>
        <w:t xml:space="preserve">As the primary regulatory body for media in</w:t>
      </w:r>
      <w:r>
        <w:t xml:space="preserve"> </w:t>
      </w:r>
      <w:r>
        <w:rPr>
          <w:bCs/>
          <w:b/>
        </w:rPr>
        <w:t xml:space="preserve">Saudi Arabia</w:t>
      </w:r>
      <w:r>
        <w:t xml:space="preserve">, the GCAM issues guidelines that are mandatory for all professional editors. This document outlines the legal boundaries for content creation, covering topics such as privacy, defamation, and the portrayal of national identity. For an</w:t>
      </w:r>
      <w:r>
        <w:t xml:space="preserve"> </w:t>
      </w:r>
      <w:r>
        <w:rPr>
          <w:bCs/>
          <w:b/>
        </w:rPr>
        <w:t xml:space="preserve">Editor</w:t>
      </w:r>
      <w:r>
        <w:t xml:space="preserve"> </w:t>
      </w:r>
      <w:r>
        <w:t xml:space="preserve">in</w:t>
      </w:r>
      <w:r>
        <w:t xml:space="preserve"> </w:t>
      </w:r>
      <w:r>
        <w:rPr>
          <w:bCs/>
          <w:b/>
        </w:rPr>
        <w:t xml:space="preserve">Riyadh</w:t>
      </w:r>
      <w:r>
        <w:t xml:space="preserve">, familiarity with this framework is not optional but a professional necessity. The text provides clear directives on what constitutes acceptable content in the digital age, ensuring that editorial decisions align with the Kingdom's laws. It is a foundational resource for establishing compliance protocols within any media organization based in the capital.</w:t>
      </w:r>
    </w:p>
    <w:bookmarkEnd w:id="21"/>
    <w:bookmarkStart w:id="22" w:name="X2b1c0b8731778e042d1c4683feb028dc0d76a41"/>
    <w:p>
      <w:pPr>
        <w:pStyle w:val="Heading2"/>
      </w:pPr>
      <w:r>
        <w:t xml:space="preserve">2. Technological Tools and Digital Publishing</w:t>
      </w:r>
    </w:p>
    <w:p>
      <w:pPr>
        <w:pStyle w:val="FirstParagraph"/>
      </w:pPr>
      <w:r>
        <w:t xml:space="preserve">TechRiyadh Insights. (2022).</w:t>
      </w:r>
      <w:r>
        <w:t xml:space="preserve"> </w:t>
      </w:r>
      <w:r>
        <w:rPr>
          <w:iCs/>
          <w:i/>
        </w:rPr>
        <w:t xml:space="preserve">The Digital Transformation of Publishing: Tools for the Modern Editor</w:t>
      </w:r>
      <w:r>
        <w:t xml:space="preserve">. Riyadh: TechRiyadh Journal.</w:t>
      </w:r>
    </w:p>
    <w:p>
      <w:pPr>
        <w:pStyle w:val="BodyText"/>
      </w:pPr>
      <w:r>
        <w:t xml:space="preserve">This report focuses specifically on the technological infrastructure available to media professionals in</w:t>
      </w:r>
      <w:r>
        <w:t xml:space="preserve"> </w:t>
      </w:r>
      <w:r>
        <w:rPr>
          <w:bCs/>
          <w:b/>
        </w:rPr>
        <w:t xml:space="preserve">Riyadh</w:t>
      </w:r>
      <w:r>
        <w:t xml:space="preserve">. It evaluates various Content Management Systems (CMS) and collaborative editing platforms that are gaining traction in the Saudi market. The article highlights the importance of cloud-based tools that facilitate remote collaboration, a growing trend in the city's tech sector. For the</w:t>
      </w:r>
      <w:r>
        <w:t xml:space="preserve"> </w:t>
      </w:r>
      <w:r>
        <w:rPr>
          <w:bCs/>
          <w:b/>
        </w:rPr>
        <w:t xml:space="preserve">Editor</w:t>
      </w:r>
      <w:r>
        <w:t xml:space="preserve">, this resource offers practical recommendations on software that supports both Arabic and English workflows, ensuring seamless bilingual publishing. It also discusses the integration of AI-driven grammar checkers tailored for Arabic dialects, a crucial tool for maintaining linguistic integrity in a rapidly digitizing environment.</w:t>
      </w:r>
    </w:p>
    <w:p>
      <w:pPr>
        <w:pStyle w:val="BodyText"/>
      </w:pPr>
      <w:r>
        <w:t xml:space="preserve">Smith, J., &amp; Al-Harbi, K. (2023).</w:t>
      </w:r>
      <w:r>
        <w:t xml:space="preserve"> </w:t>
      </w:r>
      <w:r>
        <w:rPr>
          <w:iCs/>
          <w:i/>
        </w:rPr>
        <w:t xml:space="preserve">AI in Editorial Workflows: Opportunities and Challenges in the Middle East</w:t>
      </w:r>
      <w:r>
        <w:t xml:space="preserve">. Journal of Digital Media Studies, 15(2), 112-129.</w:t>
      </w:r>
    </w:p>
    <w:p>
      <w:pPr>
        <w:pStyle w:val="BodyText"/>
      </w:pPr>
      <w:r>
        <w:t xml:space="preserve">This academic paper examines the role of Artificial Intelligence in assisting editors, with a specific focus on Middle Eastern markets including</w:t>
      </w:r>
      <w:r>
        <w:t xml:space="preserve"> </w:t>
      </w:r>
      <w:r>
        <w:rPr>
          <w:bCs/>
          <w:b/>
        </w:rPr>
        <w:t xml:space="preserve">Saudi Arabia</w:t>
      </w:r>
      <w:r>
        <w:t xml:space="preserve">. The authors discuss how AI tools can streamline the initial stages of editing, such as fact-checking and style consistency, allowing the human</w:t>
      </w:r>
      <w:r>
        <w:t xml:space="preserve"> </w:t>
      </w:r>
      <w:r>
        <w:rPr>
          <w:bCs/>
          <w:b/>
        </w:rPr>
        <w:t xml:space="preserve">Editor</w:t>
      </w:r>
      <w:r>
        <w:t xml:space="preserve"> </w:t>
      </w:r>
      <w:r>
        <w:t xml:space="preserve">to focus on nuance and strategy. However, the paper also warns of the limitations of AI in understanding the cultural context of</w:t>
      </w:r>
      <w:r>
        <w:t xml:space="preserve"> </w:t>
      </w:r>
      <w:r>
        <w:rPr>
          <w:bCs/>
          <w:b/>
        </w:rPr>
        <w:t xml:space="preserve">Riyadh</w:t>
      </w:r>
      <w:r>
        <w:t xml:space="preserve">. It serves as a balanced guide for editors looking to adopt new technologies without compromising the human element of storytelling and cultural relevance.</w:t>
      </w:r>
    </w:p>
    <w:bookmarkEnd w:id="22"/>
    <w:bookmarkStart w:id="23" w:name="strategic-communication-and-vision-2030"/>
    <w:p>
      <w:pPr>
        <w:pStyle w:val="Heading2"/>
      </w:pPr>
      <w:r>
        <w:t xml:space="preserve">3. Strategic Communication and Vision 2030</w:t>
      </w:r>
    </w:p>
    <w:p>
      <w:pPr>
        <w:pStyle w:val="FirstParagraph"/>
      </w:pPr>
      <w:r>
        <w:t xml:space="preserve">Ministry of Media. (2022).</w:t>
      </w:r>
      <w:r>
        <w:t xml:space="preserve"> </w:t>
      </w:r>
      <w:r>
        <w:rPr>
          <w:iCs/>
          <w:i/>
        </w:rPr>
        <w:t xml:space="preserve">Vision 2030: The Role of Media in National Development</w:t>
      </w:r>
      <w:r>
        <w:t xml:space="preserve">. Riyadh: Kingdom of Saudi Arabia Government Press.</w:t>
      </w:r>
    </w:p>
    <w:p>
      <w:pPr>
        <w:pStyle w:val="BodyText"/>
      </w:pPr>
      <w:r>
        <w:t xml:space="preserve">This official publication outlines the strategic objectives for the media sector under Vision 2030. It emphasizes the need for a media landscape that is innovative, globally competitive, and reflective of Saudi heritage. For the</w:t>
      </w:r>
      <w:r>
        <w:t xml:space="preserve"> </w:t>
      </w:r>
      <w:r>
        <w:rPr>
          <w:bCs/>
          <w:b/>
        </w:rPr>
        <w:t xml:space="preserve">Editor</w:t>
      </w:r>
      <w:r>
        <w:t xml:space="preserve"> </w:t>
      </w:r>
      <w:r>
        <w:t xml:space="preserve">in</w:t>
      </w:r>
      <w:r>
        <w:t xml:space="preserve"> </w:t>
      </w:r>
      <w:r>
        <w:rPr>
          <w:bCs/>
          <w:b/>
        </w:rPr>
        <w:t xml:space="preserve">Riyadh</w:t>
      </w:r>
      <w:r>
        <w:t xml:space="preserve">, this document provides the macro-level context for their daily work. It highlights the importance of storytelling that promotes tourism, investment, and social progress. Understanding these national goals allows editors to align their content strategies with broader economic and social initiatives, making their work more impactful and relevant to stakeholders in the Kingdom.</w:t>
      </w:r>
    </w:p>
    <w:p>
      <w:pPr>
        <w:pStyle w:val="BodyText"/>
      </w:pPr>
      <w:r>
        <w:t xml:space="preserve">Al-Otaibi, S. (2021).</w:t>
      </w:r>
      <w:r>
        <w:t xml:space="preserve"> </w:t>
      </w:r>
      <w:r>
        <w:rPr>
          <w:iCs/>
          <w:i/>
        </w:rPr>
        <w:t xml:space="preserve">Corporate Communication in the Gulf: Best Practices for Multinational Editors</w:t>
      </w:r>
      <w:r>
        <w:t xml:space="preserve">. Dubai: Gulf Business Press.</w:t>
      </w:r>
    </w:p>
    <w:p>
      <w:pPr>
        <w:pStyle w:val="BodyText"/>
      </w:pPr>
      <w:r>
        <w:t xml:space="preserve">Although published in Dubai, this book is highly relevant to</w:t>
      </w:r>
      <w:r>
        <w:t xml:space="preserve"> </w:t>
      </w:r>
      <w:r>
        <w:rPr>
          <w:bCs/>
          <w:b/>
        </w:rPr>
        <w:t xml:space="preserve">Riyadh</w:t>
      </w:r>
      <w:r>
        <w:t xml:space="preserve"> </w:t>
      </w:r>
      <w:r>
        <w:t xml:space="preserve">due to the influx of multinational corporations establishing regional headquarters in the city. It addresses the challenges faced by editors working in diverse, multicultural teams. The author provides strategies for managing tone, voice, and brand consistency across different markets. For an</w:t>
      </w:r>
      <w:r>
        <w:t xml:space="preserve"> </w:t>
      </w:r>
      <w:r>
        <w:rPr>
          <w:bCs/>
          <w:b/>
        </w:rPr>
        <w:t xml:space="preserve">Editor</w:t>
      </w:r>
      <w:r>
        <w:t xml:space="preserve"> </w:t>
      </w:r>
      <w:r>
        <w:t xml:space="preserve">in</w:t>
      </w:r>
      <w:r>
        <w:t xml:space="preserve"> </w:t>
      </w:r>
      <w:r>
        <w:rPr>
          <w:bCs/>
          <w:b/>
        </w:rPr>
        <w:t xml:space="preserve">Saudi Arabia</w:t>
      </w:r>
      <w:r>
        <w:t xml:space="preserve">, this resource is valuable for navigating the complexities of corporate communication, ensuring that messages are clear, professional, and culturally appropriate for both local and international audiences.</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Saudi Arabia Riyadh</w:t>
      </w:r>
      <w:r>
        <w:t xml:space="preserve"> </w:t>
      </w:r>
      <w:r>
        <w:t xml:space="preserve">is multifaceted, requiring a blend of linguistic expertise, technological proficiency, and cultural intelligence. The resources compiled in this</w:t>
      </w:r>
      <w:r>
        <w:t xml:space="preserve"> </w:t>
      </w:r>
      <w:r>
        <w:rPr>
          <w:bCs/>
          <w:b/>
        </w:rPr>
        <w:t xml:space="preserve">Annotated Bibliography</w:t>
      </w:r>
      <w:r>
        <w:t xml:space="preserve"> </w:t>
      </w:r>
      <w:r>
        <w:t xml:space="preserve">offer a robust foundation for professionals seeking to excel in this dynamic environment. By leveraging these insights, editors can contribute effectively to the Kingdom's growing media landscape, ensuring that content is not only accurate and engaging but also aligned with the values and aspirations of Saudi society.</w:t>
      </w:r>
    </w:p>
    <w:bookmarkEnd w:id="24"/>
    <w:p>
      <w:pPr>
        <w:pStyle w:val="BodyText"/>
      </w:pPr>
      <w:r>
        <w:t xml:space="preserve">Generated for educational and professional reference purposes. All citations are illustrative of the types of resources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and Practices in Riyadh, Saudi Arabia</dc:title>
  <dc:creator/>
  <dc:language>en</dc:language>
  <cp:keywords/>
  <dcterms:created xsi:type="dcterms:W3CDTF">2026-08-07T00:09:16Z</dcterms:created>
  <dcterms:modified xsi:type="dcterms:W3CDTF">2026-08-07T00:09:16Z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