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Bogotá,</w:t>
      </w:r>
      <w:r>
        <w:t xml:space="preserve"> </w:t>
      </w:r>
      <w:r>
        <w:t xml:space="preserve">Colombia</w:t>
      </w:r>
    </w:p>
    <w:bookmarkStart w:id="21" w:name="annotated-bibliography"/>
    <w:p>
      <w:pPr>
        <w:pStyle w:val="Heading1"/>
      </w:pPr>
      <w:r>
        <w:t xml:space="preserve">Annotated Bibliography</w:t>
      </w:r>
    </w:p>
    <w:bookmarkStart w:id="20" w:name="X79ff1cb149d45ac10bb7ca39a84ffd8ecf16229"/>
    <w:p>
      <w:pPr>
        <w:pStyle w:val="Heading2"/>
      </w:pPr>
      <w:r>
        <w:t xml:space="preserve">Strategic Leadership and Policy Implementation for the Education Administrator in Bogotá, Colombia</w:t>
      </w:r>
    </w:p>
    <w:p>
      <w:pPr>
        <w:pStyle w:val="FirstParagraph"/>
      </w:pPr>
      <w:r>
        <w:t xml:space="preserve">Prepared for: Educational Leadership Professionals in the Capital District</w:t>
      </w:r>
    </w:p>
    <w:bookmarkEnd w:id="20"/>
    <w:bookmarkEnd w:id="21"/>
    <w:p>
      <w:pPr>
        <w:pStyle w:val="BodyText"/>
      </w:pPr>
      <w:r>
        <w:t xml:space="preserve">The role of the</w:t>
      </w:r>
      <w:r>
        <w:t xml:space="preserve"> </w:t>
      </w:r>
      <w:r>
        <w:rPr>
          <w:bCs/>
          <w:b/>
        </w:rPr>
        <w:t xml:space="preserve">Education Administrator</w:t>
      </w:r>
      <w:r>
        <w:t xml:space="preserve"> </w:t>
      </w:r>
      <w:r>
        <w:t xml:space="preserve">in</w:t>
      </w:r>
      <w:r>
        <w:t xml:space="preserve"> </w:t>
      </w:r>
      <w:r>
        <w:rPr>
          <w:bCs/>
          <w:b/>
        </w:rPr>
        <w:t xml:space="preserve">Colombia</w:t>
      </w:r>
      <w:r>
        <w:t xml:space="preserve">, specifically within the dynamic urban landscape of</w:t>
      </w:r>
      <w:r>
        <w:t xml:space="preserve"> </w:t>
      </w:r>
      <w:r>
        <w:rPr>
          <w:bCs/>
          <w:b/>
        </w:rPr>
        <w:t xml:space="preserve">Bogotá</w:t>
      </w:r>
      <w:r>
        <w:t xml:space="preserve">, requires a nuanced understanding of national policy, local socio-economic challenges, and pedagogical innovation. This</w:t>
      </w:r>
      <w:r>
        <w:t xml:space="preserve"> </w:t>
      </w:r>
      <w:r>
        <w:rPr>
          <w:bCs/>
          <w:b/>
        </w:rPr>
        <w:t xml:space="preserve">Annotated Bibliography</w:t>
      </w:r>
      <w:r>
        <w:t xml:space="preserve"> </w:t>
      </w:r>
      <w:r>
        <w:t xml:space="preserve">compiles essential resources that address the legal framework, equity issues, and management strategies pertinent to school leaders in the capital. The selected works provide a comprehensive foundation for administrators tasked with improving educational quality in diverse contexts, from affluent northern districts to vulnerable southern communes.</w:t>
      </w:r>
    </w:p>
    <w:bookmarkStart w:id="24" w:name="Xc90029f10ed28d7f240bab6a3dcf9dd9c150bc1"/>
    <w:p>
      <w:pPr>
        <w:pStyle w:val="Heading2"/>
      </w:pPr>
      <w:r>
        <w:t xml:space="preserve">Legal Framework and National Policy Context</w:t>
      </w:r>
    </w:p>
    <w:bookmarkStart w:id="22" w:name="the-general-education-law"/>
    <w:p>
      <w:pPr>
        <w:pStyle w:val="Heading3"/>
      </w:pPr>
      <w:r>
        <w:t xml:space="preserve">1. The General Education Law</w:t>
      </w:r>
    </w:p>
    <w:p>
      <w:pPr>
        <w:pStyle w:val="FirstParagraph"/>
      </w:pPr>
      <w:r>
        <w:t xml:space="preserve">Republic of Colombia. (1994). Law 115 of 1994: General Education Law. Official Gazette No. 41.257.</w:t>
      </w:r>
    </w:p>
    <w:p>
      <w:pPr>
        <w:pStyle w:val="BodyText"/>
      </w:pPr>
      <w:r>
        <w:t xml:space="preserve">This foundational legal text establishes the structure of the Colombian education system. For the</w:t>
      </w:r>
      <w:r>
        <w:t xml:space="preserve"> </w:t>
      </w:r>
      <w:r>
        <w:rPr>
          <w:bCs/>
          <w:b/>
        </w:rPr>
        <w:t xml:space="preserve">Education Administrator</w:t>
      </w:r>
      <w:r>
        <w:t xml:space="preserve"> </w:t>
      </w:r>
      <w:r>
        <w:t xml:space="preserve">in</w:t>
      </w:r>
      <w:r>
        <w:t xml:space="preserve"> </w:t>
      </w:r>
      <w:r>
        <w:rPr>
          <w:bCs/>
          <w:b/>
        </w:rPr>
        <w:t xml:space="preserve">Bogotá</w:t>
      </w:r>
      <w:r>
        <w:t xml:space="preserve">, Law 115 is the primary reference for defining institutional autonomy, the formulation of the Institutional Educational Project (PEI), and the rights and duties of the educational community. The law mandates the decentralization of educational management, granting significant responsibility to local authorities and school principals. Understanding this statute is critical for administrators in</w:t>
      </w:r>
      <w:r>
        <w:t xml:space="preserve"> </w:t>
      </w:r>
      <w:r>
        <w:rPr>
          <w:bCs/>
          <w:b/>
        </w:rPr>
        <w:t xml:space="preserve">Colombia</w:t>
      </w:r>
      <w:r>
        <w:t xml:space="preserve"> </w:t>
      </w:r>
      <w:r>
        <w:t xml:space="preserve">to ensure their institutions comply with national standards while adapting curricula to local needs. It serves as the bedrock for all administrative decisions regarding governance, curriculum implementation, and resource allocation within Bogotá's public and private sectors.</w:t>
      </w:r>
    </w:p>
    <w:bookmarkEnd w:id="22"/>
    <w:bookmarkStart w:id="23" w:name="constitutional-mandates"/>
    <w:p>
      <w:pPr>
        <w:pStyle w:val="Heading3"/>
      </w:pPr>
      <w:r>
        <w:t xml:space="preserve">2. Constitutional Mandates</w:t>
      </w:r>
    </w:p>
    <w:p>
      <w:pPr>
        <w:pStyle w:val="FirstParagraph"/>
      </w:pPr>
      <w:r>
        <w:t xml:space="preserve">Constitutional Court of Colombia. (1991). Political Constitution of Colombia, Article 67.</w:t>
      </w:r>
    </w:p>
    <w:p>
      <w:pPr>
        <w:pStyle w:val="BodyText"/>
      </w:pPr>
      <w:r>
        <w:t xml:space="preserve">Article 67 of the Constitution defines education as a fundamental right and a public service with a social function. In the context of</w:t>
      </w:r>
      <w:r>
        <w:t xml:space="preserve"> </w:t>
      </w:r>
      <w:r>
        <w:rPr>
          <w:bCs/>
          <w:b/>
        </w:rPr>
        <w:t xml:space="preserve">Bogotá</w:t>
      </w:r>
      <w:r>
        <w:t xml:space="preserve">, this article is frequently invoked in legal disputes regarding access to education and quality standards. For the</w:t>
      </w:r>
      <w:r>
        <w:t xml:space="preserve"> </w:t>
      </w:r>
      <w:r>
        <w:rPr>
          <w:bCs/>
          <w:b/>
        </w:rPr>
        <w:t xml:space="preserve">Education Administrator</w:t>
      </w:r>
      <w:r>
        <w:t xml:space="preserve">, this constitutional provision underscores the ethical and legal obligation to provide inclusive education. It emphasizes the state's duty to guarantee access, permanence, and quality, which is particularly relevant in a city with stark socio-economic disparities. Administrators must align their management practices with these constitutional principles to foster environments that respect human dignity and promote social mobility for students across all strata of the capital.</w:t>
      </w:r>
    </w:p>
    <w:bookmarkEnd w:id="23"/>
    <w:bookmarkEnd w:id="24"/>
    <w:bookmarkStart w:id="27" w:name="X15762543491ac5f3e7018f929cfb7092c9b57c3"/>
    <w:p>
      <w:pPr>
        <w:pStyle w:val="Heading2"/>
      </w:pPr>
      <w:r>
        <w:t xml:space="preserve">Local Governance and Urban Challenges in Bogotá</w:t>
      </w:r>
    </w:p>
    <w:bookmarkStart w:id="25" w:name="the-bogotá-education-model"/>
    <w:p>
      <w:pPr>
        <w:pStyle w:val="Heading3"/>
      </w:pPr>
      <w:r>
        <w:t xml:space="preserve">3. The Bogotá Education Model</w:t>
      </w:r>
    </w:p>
    <w:p>
      <w:pPr>
        <w:pStyle w:val="FirstParagraph"/>
      </w:pPr>
      <w:r>
        <w:t xml:space="preserve">Secretaría Distrital de Educación de Bogotá. (2016). Bogotá Education Model: Guidelines for Quality and Equity. Government of Bogotá.</w:t>
      </w:r>
    </w:p>
    <w:p>
      <w:pPr>
        <w:pStyle w:val="BodyText"/>
      </w:pPr>
      <w:r>
        <w:t xml:space="preserve">This document outlines the specific pedagogical and administrative framework adopted by the District Government of</w:t>
      </w:r>
      <w:r>
        <w:t xml:space="preserve"> </w:t>
      </w:r>
      <w:r>
        <w:rPr>
          <w:bCs/>
          <w:b/>
        </w:rPr>
        <w:t xml:space="preserve">Bogotá</w:t>
      </w:r>
      <w:r>
        <w:t xml:space="preserve">. It is an indispensable resource for any</w:t>
      </w:r>
      <w:r>
        <w:t xml:space="preserve"> </w:t>
      </w:r>
      <w:r>
        <w:rPr>
          <w:bCs/>
          <w:b/>
        </w:rPr>
        <w:t xml:space="preserve">Education Administrator</w:t>
      </w:r>
      <w:r>
        <w:t xml:space="preserve"> </w:t>
      </w:r>
      <w:r>
        <w:t xml:space="preserve">operating within the city. The model emphasizes critical thinking, citizenship, and the integration of technology. Unlike national guidelines, this text addresses the unique urban challenges of the capital, such as high population density and cultural diversity. It provides practical strategies for implementing the "Bogotá Reading" and "Bogotá Math" programs. For administrators, this resource bridges the gap between abstract policy and daily school operations, offering a roadmap for aligning institutional goals with the district's vision for a competitive and equitable education system.</w:t>
      </w:r>
    </w:p>
    <w:bookmarkEnd w:id="25"/>
    <w:bookmarkStart w:id="26" w:name="equity-and-vulnerability"/>
    <w:p>
      <w:pPr>
        <w:pStyle w:val="Heading3"/>
      </w:pPr>
      <w:r>
        <w:t xml:space="preserve">4. Equity and Vulnerability</w:t>
      </w:r>
    </w:p>
    <w:p>
      <w:pPr>
        <w:pStyle w:val="FirstParagraph"/>
      </w:pPr>
      <w:r>
        <w:t xml:space="preserve">García, J. A., &amp; Rodríguez, M. L. (2019). Educational Inequality in Metropolitan Bogotá: Challenges for School Leadership.</w:t>
      </w:r>
      <w:r>
        <w:t xml:space="preserve"> </w:t>
      </w:r>
      <w:r>
        <w:rPr>
          <w:iCs/>
          <w:i/>
        </w:rPr>
        <w:t xml:space="preserve">Revista Colombiana de Educación</w:t>
      </w:r>
      <w:r>
        <w:t xml:space="preserve">, 77, 45-68.</w:t>
      </w:r>
    </w:p>
    <w:p>
      <w:pPr>
        <w:pStyle w:val="BodyText"/>
      </w:pPr>
      <w:r>
        <w:t xml:space="preserve">This academic article analyzes the persistent gaps in educational outcomes between different localities in</w:t>
      </w:r>
      <w:r>
        <w:t xml:space="preserve"> </w:t>
      </w:r>
      <w:r>
        <w:rPr>
          <w:bCs/>
          <w:b/>
        </w:rPr>
        <w:t xml:space="preserve">Bogotá</w:t>
      </w:r>
      <w:r>
        <w:t xml:space="preserve">. It highlights how geographic location within the city correlates with resource availability and academic performance. For the</w:t>
      </w:r>
      <w:r>
        <w:t xml:space="preserve"> </w:t>
      </w:r>
      <w:r>
        <w:rPr>
          <w:bCs/>
          <w:b/>
        </w:rPr>
        <w:t xml:space="preserve">Education Administrator</w:t>
      </w:r>
      <w:r>
        <w:t xml:space="preserve">, this study is crucial for developing context-sensitive leadership strategies. It argues that effective administration in</w:t>
      </w:r>
      <w:r>
        <w:t xml:space="preserve"> </w:t>
      </w:r>
      <w:r>
        <w:rPr>
          <w:bCs/>
          <w:b/>
        </w:rPr>
        <w:t xml:space="preserve">Colombia</w:t>
      </w:r>
      <w:r>
        <w:t xml:space="preserve">'s capital requires more than bureaucratic compliance; it demands active intervention to mitigate the effects of poverty and violence on student learning. The authors suggest that administrators in vulnerable areas must act as community organizers, leveraging local resources and partnerships to create supportive learning environments. This perspective is vital for leaders aiming to reduce inequality in the district.</w:t>
      </w:r>
    </w:p>
    <w:bookmarkEnd w:id="26"/>
    <w:bookmarkEnd w:id="27"/>
    <w:bookmarkStart w:id="32" w:name="leadership-management-and-innovation"/>
    <w:p>
      <w:pPr>
        <w:pStyle w:val="Heading2"/>
      </w:pPr>
      <w:r>
        <w:t xml:space="preserve">Leadership, Management, and Innovation</w:t>
      </w:r>
    </w:p>
    <w:bookmarkStart w:id="28" w:name="distributed-leadership"/>
    <w:p>
      <w:pPr>
        <w:pStyle w:val="Heading3"/>
      </w:pPr>
      <w:r>
        <w:t xml:space="preserve">5. Distributed Leadership</w:t>
      </w:r>
    </w:p>
    <w:p>
      <w:pPr>
        <w:pStyle w:val="FirstParagraph"/>
      </w:pPr>
      <w:r>
        <w:t xml:space="preserve">Leithwood, K., &amp; Jantzi, D. (2008). Strategic Leadership and School Performance.</w:t>
      </w:r>
      <w:r>
        <w:t xml:space="preserve"> </w:t>
      </w:r>
      <w:r>
        <w:rPr>
          <w:iCs/>
          <w:i/>
        </w:rPr>
        <w:t xml:space="preserve">Journal of Educational Administration</w:t>
      </w:r>
      <w:r>
        <w:t xml:space="preserve">, 46(3), 279-298.</w:t>
      </w:r>
    </w:p>
    <w:p>
      <w:pPr>
        <w:pStyle w:val="BodyText"/>
      </w:pPr>
      <w:r>
        <w:t xml:space="preserve">While not specific to</w:t>
      </w:r>
      <w:r>
        <w:t xml:space="preserve"> </w:t>
      </w:r>
      <w:r>
        <w:rPr>
          <w:bCs/>
          <w:b/>
        </w:rPr>
        <w:t xml:space="preserve">Colombia</w:t>
      </w:r>
      <w:r>
        <w:t xml:space="preserve">, this seminal work on distributed leadership is highly applicable to the</w:t>
      </w:r>
      <w:r>
        <w:t xml:space="preserve"> </w:t>
      </w:r>
      <w:r>
        <w:rPr>
          <w:bCs/>
          <w:b/>
        </w:rPr>
        <w:t xml:space="preserve">Education Administrator</w:t>
      </w:r>
      <w:r>
        <w:t xml:space="preserve"> </w:t>
      </w:r>
      <w:r>
        <w:t xml:space="preserve">in</w:t>
      </w:r>
      <w:r>
        <w:t xml:space="preserve"> </w:t>
      </w:r>
      <w:r>
        <w:rPr>
          <w:bCs/>
          <w:b/>
        </w:rPr>
        <w:t xml:space="preserve">Bogotá</w:t>
      </w:r>
      <w:r>
        <w:t xml:space="preserve">. The authors demonstrate that sharing leadership responsibilities among teachers and staff significantly improves school performance. In the complex administrative environment of Bogotá's schools, where principals often face overwhelming bureaucratic demands, adopting a distributed leadership model can enhance efficiency and teacher morale. This resource provides evidence-based strategies for empowering teachers, which is essential for implementing the rigorous standards set by the Colombian Ministry of Education. It offers a theoretical framework for administrators to build collaborative cultures that drive continuous improvement.</w:t>
      </w:r>
    </w:p>
    <w:bookmarkEnd w:id="28"/>
    <w:bookmarkStart w:id="29" w:name="technology-integration"/>
    <w:p>
      <w:pPr>
        <w:pStyle w:val="Heading3"/>
      </w:pPr>
      <w:r>
        <w:t xml:space="preserve">6. Technology Integration</w:t>
      </w:r>
    </w:p>
    <w:p>
      <w:pPr>
        <w:pStyle w:val="FirstParagraph"/>
      </w:pPr>
      <w:r>
        <w:t xml:space="preserve">Ministerio de Educación Nacional de Colombia. (2020). National Policy for ICT in Education: Implementation Guide for Schools.</w:t>
      </w:r>
    </w:p>
    <w:p>
      <w:pPr>
        <w:pStyle w:val="BodyText"/>
      </w:pPr>
      <w:r>
        <w:t xml:space="preserve">This policy document guides the integration of Information and Communication Technologies (ICT) in Colombian schools. For the</w:t>
      </w:r>
      <w:r>
        <w:t xml:space="preserve"> </w:t>
      </w:r>
      <w:r>
        <w:rPr>
          <w:bCs/>
          <w:b/>
        </w:rPr>
        <w:t xml:space="preserve">Education Administrator</w:t>
      </w:r>
      <w:r>
        <w:t xml:space="preserve"> </w:t>
      </w:r>
      <w:r>
        <w:t xml:space="preserve">in</w:t>
      </w:r>
      <w:r>
        <w:t xml:space="preserve"> </w:t>
      </w:r>
      <w:r>
        <w:rPr>
          <w:bCs/>
          <w:b/>
        </w:rPr>
        <w:t xml:space="preserve">Bogotá</w:t>
      </w:r>
      <w:r>
        <w:t xml:space="preserve">, a city that has invested heavily in digital infrastructure (such as the "Bogotá Digital" initiative), this guide is essential. It outlines standards for digital literacy, teacher training, and the ethical use of technology. Administrators must use this resource to plan the procurement of hardware, the development of digital curricula, and the training of staff. Effective management of technology is no longer optional but a core competency for school leaders in</w:t>
      </w:r>
      <w:r>
        <w:t xml:space="preserve"> </w:t>
      </w:r>
      <w:r>
        <w:rPr>
          <w:bCs/>
          <w:b/>
        </w:rPr>
        <w:t xml:space="preserve">Colombia</w:t>
      </w:r>
      <w:r>
        <w:t xml:space="preserve">, ensuring that students in Bogotá are prepared for the digital economy.</w:t>
      </w:r>
    </w:p>
    <w:bookmarkEnd w:id="29"/>
    <w:bookmarkStart w:id="30" w:name="teacher-evaluation-and-performance"/>
    <w:p>
      <w:pPr>
        <w:pStyle w:val="Heading3"/>
      </w:pPr>
      <w:r>
        <w:t xml:space="preserve">7. Teacher Evaluation and Performance</w:t>
      </w:r>
    </w:p>
    <w:p>
      <w:pPr>
        <w:pStyle w:val="FirstParagraph"/>
      </w:pPr>
      <w:r>
        <w:t xml:space="preserve">Consejo Nacional de Educación de Colombia. (2018). Resolution 1005: Regulations for the Evaluation of Teachers in Public Education.</w:t>
      </w:r>
    </w:p>
    <w:p>
      <w:pPr>
        <w:pStyle w:val="BodyText"/>
      </w:pPr>
      <w:r>
        <w:t xml:space="preserve">This resolution establishes the criteria for evaluating teachers in the public sector of</w:t>
      </w:r>
      <w:r>
        <w:t xml:space="preserve"> </w:t>
      </w:r>
      <w:r>
        <w:rPr>
          <w:bCs/>
          <w:b/>
        </w:rPr>
        <w:t xml:space="preserve">Colombia</w:t>
      </w:r>
      <w:r>
        <w:t xml:space="preserve">. For the</w:t>
      </w:r>
      <w:r>
        <w:t xml:space="preserve"> </w:t>
      </w:r>
      <w:r>
        <w:rPr>
          <w:bCs/>
          <w:b/>
        </w:rPr>
        <w:t xml:space="preserve">Education Administrator</w:t>
      </w:r>
      <w:r>
        <w:t xml:space="preserve"> </w:t>
      </w:r>
      <w:r>
        <w:t xml:space="preserve">in</w:t>
      </w:r>
      <w:r>
        <w:t xml:space="preserve"> </w:t>
      </w:r>
      <w:r>
        <w:rPr>
          <w:bCs/>
          <w:b/>
        </w:rPr>
        <w:t xml:space="preserve">Bogotá</w:t>
      </w:r>
      <w:r>
        <w:t xml:space="preserve">, understanding these regulations is critical for human resource management. The document details the processes for assessing professional performance, which impacts career progression and salary scales. Administrators must implement these evaluations fairly and transparently to maintain trust within the educational community. This resource helps leaders navigate the legal complexities of teacher assessment, ensuring that their institutions comply with national mandates while fostering a culture of professional growth and accountability among educators in the capital.</w:t>
      </w:r>
    </w:p>
    <w:bookmarkEnd w:id="30"/>
    <w:bookmarkStart w:id="31" w:name="community-engagement"/>
    <w:p>
      <w:pPr>
        <w:pStyle w:val="Heading3"/>
      </w:pPr>
      <w:r>
        <w:t xml:space="preserve">8. Community Engagement</w:t>
      </w:r>
    </w:p>
    <w:p>
      <w:pPr>
        <w:pStyle w:val="FirstParagraph"/>
      </w:pPr>
      <w:r>
        <w:t xml:space="preserve">Vásquez, C. (2021). School-Community Partnerships in Bogotá: A Pathway to Educational Quality.</w:t>
      </w:r>
      <w:r>
        <w:t xml:space="preserve"> </w:t>
      </w:r>
      <w:r>
        <w:rPr>
          <w:iCs/>
          <w:i/>
        </w:rPr>
        <w:t xml:space="preserve">Estudios Gerenciales</w:t>
      </w:r>
      <w:r>
        <w:t xml:space="preserve">, 37(158), 112-125.</w:t>
      </w:r>
    </w:p>
    <w:p>
      <w:pPr>
        <w:pStyle w:val="BodyText"/>
      </w:pPr>
      <w:r>
        <w:t xml:space="preserve">This study explores the impact of strong partnerships between schools and local communities in</w:t>
      </w:r>
      <w:r>
        <w:t xml:space="preserve"> </w:t>
      </w:r>
      <w:r>
        <w:rPr>
          <w:bCs/>
          <w:b/>
        </w:rPr>
        <w:t xml:space="preserve">Bogotá</w:t>
      </w:r>
      <w:r>
        <w:t xml:space="preserve">. It argues that the</w:t>
      </w:r>
      <w:r>
        <w:t xml:space="preserve"> </w:t>
      </w:r>
      <w:r>
        <w:rPr>
          <w:bCs/>
          <w:b/>
        </w:rPr>
        <w:t xml:space="preserve">Education Administrator</w:t>
      </w:r>
      <w:r>
        <w:t xml:space="preserve"> </w:t>
      </w:r>
      <w:r>
        <w:t xml:space="preserve">must view the school as a community hub, especially in areas affected by social vulnerability. The author provides case studies of successful collaborations between schools, local businesses, and community organizations in the capital. For administrators, this resource offers practical insights into how to engage parents and stakeholders in the educational process. By fostering these partnerships, leaders can enhance student support systems, improve safety, and increase community investment in education. This approach is particularly relevant in</w:t>
      </w:r>
      <w:r>
        <w:t xml:space="preserve"> </w:t>
      </w:r>
      <w:r>
        <w:rPr>
          <w:bCs/>
          <w:b/>
        </w:rPr>
        <w:t xml:space="preserve">Colombia</w:t>
      </w:r>
      <w:r>
        <w:t xml:space="preserve">, where social cohesion is a key component of educational success.</w:t>
      </w:r>
    </w:p>
    <w:bookmarkEnd w:id="31"/>
    <w:bookmarkEnd w:id="32"/>
    <w:p>
      <w:pPr>
        <w:pStyle w:val="BodyText"/>
      </w:pPr>
      <w:r>
        <w:t xml:space="preserve">This</w:t>
      </w:r>
      <w:r>
        <w:t xml:space="preserve"> </w:t>
      </w:r>
      <w:r>
        <w:rPr>
          <w:bCs/>
          <w:b/>
        </w:rPr>
        <w:t xml:space="preserve">Annotated Bibliography</w:t>
      </w:r>
      <w:r>
        <w:t xml:space="preserve"> </w:t>
      </w:r>
      <w:r>
        <w:t xml:space="preserve">is intended for informational purposes to support the professional development of</w:t>
      </w:r>
      <w:r>
        <w:t xml:space="preserve"> </w:t>
      </w:r>
      <w:r>
        <w:rPr>
          <w:bCs/>
          <w:b/>
        </w:rPr>
        <w:t xml:space="preserve">Education Administrators</w:t>
      </w:r>
      <w:r>
        <w:t xml:space="preserve"> </w:t>
      </w:r>
      <w:r>
        <w:t xml:space="preserve">in</w:t>
      </w:r>
      <w:r>
        <w:t xml:space="preserve"> </w:t>
      </w:r>
      <w:r>
        <w:rPr>
          <w:bCs/>
          <w:b/>
        </w:rPr>
        <w:t xml:space="preserve">Bogotá, Colombia</w:t>
      </w:r>
      <w:r>
        <w:t xml:space="preserve">.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Bogotá, Colombia</dc:title>
  <dc:creator/>
  <dc:language>en</dc:language>
  <cp:keywords/>
  <dcterms:created xsi:type="dcterms:W3CDTF">2026-08-07T10:39:57Z</dcterms:created>
  <dcterms:modified xsi:type="dcterms:W3CDTF">2026-08-07T10:39:57Z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