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Topic: The Role of the Education Administrator in Almaty, Kazakhstan</w:t>
      </w:r>
    </w:p>
    <w:bookmarkEnd w:id="20"/>
    <w:bookmarkStart w:id="21" w:name="introduction"/>
    <w:p>
      <w:pPr>
        <w:pStyle w:val="Heading2"/>
      </w:pPr>
      <w:r>
        <w:t xml:space="preserve">Introduction</w:t>
      </w:r>
    </w:p>
    <w:p>
      <w:pPr>
        <w:pStyle w:val="FirstParagraph"/>
      </w:pPr>
      <w:r>
        <w:t xml:space="preserve">This annotated bibliography compiles essential resources regarding the evolving landscape of educational leadership within the Republic of Kazakhstan, with a specific focus on the metropolitan context of Almaty. As the former capital and the nation's primary economic and cultural hub, Almaty presents unique challenges and opportunities for the modern Education Administrator. The selected sources address critical themes including the implementation of the "Digital Kazakhstan" strategy, the transition to inclusive education, the management of bilingual instruction, and the alignment of local school governance with national standards set by the Ministry of Education and Science. These references provide a comprehensive framework for administrators seeking to enhance pedagogical quality, optimize resource allocation, and foster community engagement in Almaty's diverse school districts.</w:t>
      </w:r>
    </w:p>
    <w:bookmarkEnd w:id="21"/>
    <w:bookmarkStart w:id="22" w:name="bibliographic-entries"/>
    <w:p>
      <w:pPr>
        <w:pStyle w:val="Heading2"/>
      </w:pPr>
      <w:r>
        <w:t xml:space="preserve">Bibliographic Entries</w:t>
      </w:r>
    </w:p>
    <w:p>
      <w:pPr>
        <w:pStyle w:val="FirstParagraph"/>
      </w:pPr>
      <w:r>
        <w:t xml:space="preserve"> </w:t>
      </w:r>
      <w:r>
        <w:t xml:space="preserve">Ministry of Education and Science of the Republic of Kazakhstan. (2023).</w:t>
      </w:r>
      <w:r>
        <w:t xml:space="preserve"> </w:t>
      </w:r>
      <w:r>
        <w:rPr>
          <w:iCs/>
          <w:i/>
        </w:rPr>
        <w:t xml:space="preserve">State Program for the Development of Education and Science in the Republic of Kazakhstan for 2023-2029</w:t>
      </w:r>
      <w:r>
        <w:t xml:space="preserve">. Astana: MES RK.</w:t>
      </w:r>
      <w:r>
        <w:t xml:space="preserve"> </w:t>
      </w:r>
    </w:p>
    <w:p>
      <w:pPr>
        <w:pStyle w:val="BodyText"/>
      </w:pPr>
      <w:r>
        <w:t xml:space="preserve">This foundational government document outlines the strategic roadmap for the nation's educational sector. For an Education Administrator in Almaty, this text is indispensable for understanding the macro-level policy directives that dictate local school operations. It details the shift toward competency-based learning and the integration of STEM disciplines. Administrators in Almaty must utilize this program to justify budget requests, align curriculum development with national goals, and ensure their institutions are compliant with the latest regulatory frameworks regarding teacher certification and student assessment.</w:t>
      </w:r>
    </w:p>
    <w:p>
      <w:pPr>
        <w:pStyle w:val="BodyText"/>
      </w:pPr>
      <w:r>
        <w:t xml:space="preserve"> </w:t>
      </w:r>
      <w:r>
        <w:t xml:space="preserve">Aitbayeva, G., &amp; Kozhakhmetova, A. (2022). "Digital Transformation in Kazakhstani Schools: Challenges and Opportunities for School Leaders."</w:t>
      </w:r>
      <w:r>
        <w:t xml:space="preserve"> </w:t>
      </w:r>
      <w:r>
        <w:rPr>
          <w:iCs/>
          <w:i/>
        </w:rPr>
        <w:t xml:space="preserve">Journal of Eurasian Education and Development</w:t>
      </w:r>
      <w:r>
        <w:t xml:space="preserve">, 14(2), 45-62.</w:t>
      </w:r>
      <w:r>
        <w:t xml:space="preserve"> </w:t>
      </w:r>
    </w:p>
    <w:p>
      <w:pPr>
        <w:pStyle w:val="BodyText"/>
      </w:pPr>
      <w:r>
        <w:t xml:space="preserve">This peer-reviewed article specifically examines the implementation of digital infrastructure in schools across major urban centers, including Almaty. It provides a critical analysis of the "Digital School" initiative, highlighting the administrative burden placed on principals to manage technology integration while maintaining pedagogical standards. The authors offer practical strategies for administrators to bridge the digital divide among students in Almaty's varied socioeconomic districts. This source is vital for leaders tasked with modernizing classroom environments and training staff in the use of e-learning platforms mandated by the state.</w:t>
      </w:r>
    </w:p>
    <w:p>
      <w:pPr>
        <w:pStyle w:val="BodyText"/>
      </w:pPr>
      <w:r>
        <w:t xml:space="preserve"> </w:t>
      </w:r>
      <w:r>
        <w:t xml:space="preserve">National Center for Educational Quality Assurance (NCEQA). (2021).</w:t>
      </w:r>
      <w:r>
        <w:t xml:space="preserve"> </w:t>
      </w:r>
      <w:r>
        <w:rPr>
          <w:iCs/>
          <w:i/>
        </w:rPr>
        <w:t xml:space="preserve">Standards for the Organization of Educational Activities in General Education Schools</w:t>
      </w:r>
      <w:r>
        <w:t xml:space="preserve">. Almaty: NCEQA Press.</w:t>
      </w:r>
      <w:r>
        <w:t xml:space="preserve"> </w:t>
      </w:r>
    </w:p>
    <w:p>
      <w:pPr>
        <w:pStyle w:val="BodyText"/>
      </w:pPr>
      <w:r>
        <w:t xml:space="preserve">As the regulatory body responsible for monitoring school performance, the NCEQA publishes these standards which serve as the operational manual for every Education Administrator in Kazakhstan. This document details the specific requirements for school governance, safety protocols, and curriculum delivery. For administrators in Almaty, where inspection rigor is high due to the city's status, this text is essential for preparing for accreditation cycles. It clarifies the legal responsibilities of the principal regarding student welfare, financial transparency, and the organization of extracurricular activities.</w:t>
      </w:r>
    </w:p>
    <w:p>
      <w:pPr>
        <w:pStyle w:val="BodyText"/>
      </w:pPr>
      <w:r>
        <w:t xml:space="preserve"> </w:t>
      </w:r>
      <w:r>
        <w:t xml:space="preserve">Serikbayeva, Z. (2020). "Inclusive Education in Urban Kazakhstan: A Case Study of Almaty."</w:t>
      </w:r>
      <w:r>
        <w:t xml:space="preserve"> </w:t>
      </w:r>
      <w:r>
        <w:rPr>
          <w:iCs/>
          <w:i/>
        </w:rPr>
        <w:t xml:space="preserve">International Journal of Inclusive Education</w:t>
      </w:r>
      <w:r>
        <w:t xml:space="preserve">, 24(8), 912-928.</w:t>
      </w:r>
      <w:r>
        <w:t xml:space="preserve"> </w:t>
      </w:r>
    </w:p>
    <w:p>
      <w:pPr>
        <w:pStyle w:val="BodyText"/>
      </w:pPr>
      <w:r>
        <w:t xml:space="preserve">This study focuses on the practical application of inclusive education policies within Almaty's public schools. It explores the role of the school administrator in creating supportive environments for students with special educational needs (SEN). The author argues that successful inclusion requires more than physical accessibility; it demands a cultural shift led by the administration. This resource is crucial for Almaty-based administrators who are navigating the complexities of integrating SEN students into mainstream classrooms, offering evidence-based recommendations for staff training and resource allocation.</w:t>
      </w:r>
    </w:p>
    <w:p>
      <w:pPr>
        <w:pStyle w:val="BodyText"/>
      </w:pPr>
      <w:r>
        <w:t xml:space="preserve"> </w:t>
      </w:r>
      <w:r>
        <w:t xml:space="preserve">World Bank. (2019).</w:t>
      </w:r>
      <w:r>
        <w:t xml:space="preserve"> </w:t>
      </w:r>
      <w:r>
        <w:rPr>
          <w:iCs/>
          <w:i/>
        </w:rPr>
        <w:t xml:space="preserve">Kazakhstan: Strengthening Education Quality and Equity</w:t>
      </w:r>
      <w:r>
        <w:t xml:space="preserve">. Washington, DC: World Bank Group.</w:t>
      </w:r>
      <w:r>
        <w:t xml:space="preserve"> </w:t>
      </w:r>
    </w:p>
    <w:p>
      <w:pPr>
        <w:pStyle w:val="BodyText"/>
      </w:pPr>
      <w:r>
        <w:t xml:space="preserve">This comprehensive report provides an external, data-driven perspective on the Kazakhstani education system. It highlights disparities in educational outcomes between rural areas and major cities like Almaty. For the Education Administrator, this document offers valuable insights into international best practices for equity and quality assurance. It emphasizes the importance of data-driven decision-making, encouraging administrators in Almaty to utilize student performance metrics to identify at-risk populations and implement targeted intervention programs that align with global standards.</w:t>
      </w:r>
    </w:p>
    <w:p>
      <w:pPr>
        <w:pStyle w:val="BodyText"/>
      </w:pPr>
      <w:r>
        <w:t xml:space="preserve"> </w:t>
      </w:r>
      <w:r>
        <w:t xml:space="preserve">Kadyrova, L. (2023). "Bilingual Education Management: Navigating Language Policy in Almaty Schools."</w:t>
      </w:r>
      <w:r>
        <w:t xml:space="preserve"> </w:t>
      </w:r>
      <w:r>
        <w:rPr>
          <w:iCs/>
          <w:i/>
        </w:rPr>
        <w:t xml:space="preserve">Central Asian Survey</w:t>
      </w:r>
      <w:r>
        <w:t xml:space="preserve">, 42(1), 115-130.</w:t>
      </w:r>
      <w:r>
        <w:t xml:space="preserve"> </w:t>
      </w:r>
    </w:p>
    <w:p>
      <w:pPr>
        <w:pStyle w:val="BodyText"/>
      </w:pPr>
      <w:r>
        <w:t xml:space="preserve">Language policy is a sensitive and critical issue in Kazakhstan, particularly in Almaty, a linguistically diverse metropolis. This article analyzes the administrative challenges of managing the transition to Kazakh as the primary language of instruction while maintaining proficiency in Russian and English. It provides a framework for administrators to manage teacher staffing, curriculum selection, and parent communication regarding language shifts. This source is essential for leaders seeking to implement language policies smoothly without alienating the diverse parent community in Almaty.</w:t>
      </w:r>
    </w:p>
    <w:p>
      <w:pPr>
        <w:pStyle w:val="BodyText"/>
      </w:pPr>
      <w:r>
        <w:t xml:space="preserve"> </w:t>
      </w:r>
      <w:r>
        <w:t xml:space="preserve">Almaty City Department of Education. (2022).</w:t>
      </w:r>
      <w:r>
        <w:t xml:space="preserve"> </w:t>
      </w:r>
      <w:r>
        <w:rPr>
          <w:iCs/>
          <w:i/>
        </w:rPr>
        <w:t xml:space="preserve">Annual Report on the State of Education in Almaty City</w:t>
      </w:r>
      <w:r>
        <w:t xml:space="preserve">. Almaty: City Department of Education.</w:t>
      </w:r>
      <w:r>
        <w:t xml:space="preserve"> </w:t>
      </w:r>
    </w:p>
    <w:p>
      <w:pPr>
        <w:pStyle w:val="BodyText"/>
      </w:pPr>
      <w:r>
        <w:t xml:space="preserve">This local government report provides granular data specific to the Almaty region, including enrollment statistics, infrastructure development projects, and regional assessment results. Unlike national documents, this source offers the localized context necessary for effective municipal-level administration. It is a key resource for understanding the specific priorities of the Almaty City Department of Education, allowing school administrators to align their institutional goals with the city's broader educational development plans and secure local funding for specific initiatives.</w:t>
      </w:r>
    </w:p>
    <w:p>
      <w:pPr>
        <w:pStyle w:val="BodyText"/>
      </w:pPr>
      <w:r>
        <w:t xml:space="preserve"> </w:t>
      </w:r>
      <w:r>
        <w:t xml:space="preserve">OECD. (2021).</w:t>
      </w:r>
      <w:r>
        <w:t xml:space="preserve"> </w:t>
      </w:r>
      <w:r>
        <w:rPr>
          <w:iCs/>
          <w:i/>
        </w:rPr>
        <w:t xml:space="preserve">Education at a Glance 2021: OECD Indicators</w:t>
      </w:r>
      <w:r>
        <w:t xml:space="preserve">. Paris: OECD Publishing.</w:t>
      </w:r>
      <w:r>
        <w:t xml:space="preserve"> </w:t>
      </w:r>
    </w:p>
    <w:p>
      <w:pPr>
        <w:pStyle w:val="BodyText"/>
      </w:pPr>
      <w:r>
        <w:t xml:space="preserve">While a global report, this publication is highly relevant for ambitious Education Administrators in Almaty who aim to position their schools as centers of excellence. It provides comparative data on educational spending, teacher qualifications, and student outcomes. By benchmarking Almaty's schools against OECD averages, administrators can identify areas for improvement and advocate for reforms that bring local practices in line with international standards. This source supports the argument for increased investment in professional development and school leadership training within the Kazakhstani context.</w:t>
      </w:r>
    </w:p>
    <w:bookmarkEnd w:id="22"/>
    <w:p>
      <w:pPr>
        <w:pStyle w:val="BodyText"/>
      </w:pPr>
      <w:r>
        <w:t xml:space="preserve">Document prepared for educational and administrative reference purposes. ©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Almaty, Kazakhstan</dc:title>
  <dc:creator/>
  <dc:language>en</dc:language>
  <cp:keywords/>
  <dcterms:created xsi:type="dcterms:W3CDTF">2026-08-07T00:14:44Z</dcterms:created>
  <dcterms:modified xsi:type="dcterms:W3CDTF">2026-08-07T00:14:44Z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