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Bangladesh</w:t>
      </w:r>
      <w:r>
        <w:t xml:space="preserve"> </w:t>
      </w:r>
      <w:r>
        <w:t xml:space="preserve">Dhaka</w:t>
      </w:r>
    </w:p>
    <w:bookmarkStart w:id="24" w:name="Xcdbfc0822a5d6d9807a781b29b051620872a723"/>
    <w:p>
      <w:pPr>
        <w:pStyle w:val="Heading1"/>
      </w:pPr>
      <w:r>
        <w:t xml:space="preserve">Annotated Bibliography: The Role of the Financial Analyst in Bangladesh Dhaka</w:t>
      </w:r>
    </w:p>
    <w:p>
      <w:pPr>
        <w:pStyle w:val="FirstParagraph"/>
      </w:pPr>
      <w:r>
        <w:t xml:space="preserve">This annotated bibliography compiles essential resources regarding the profession of the Financial Analyst within the specific economic context of Bangladesh Dhaka. As the capital city and financial hub of Bangladesh, Dhaka hosts the Dhaka Stock Exchange (DSE), major commercial banks, and multinational corporations. The following entries explore the regulatory frameworks, market dynamics, and professional competencies required for financial analysts operating in this rapidly developing economy.</w:t>
      </w:r>
    </w:p>
    <w:bookmarkStart w:id="20" w:name="Xd63bf56b34872ba479c1b802976ce8f1b17b047"/>
    <w:p>
      <w:pPr>
        <w:pStyle w:val="Heading2"/>
      </w:pPr>
      <w:r>
        <w:t xml:space="preserve">Regulatory Framework and Market Structure</w:t>
      </w:r>
    </w:p>
    <w:p>
      <w:pPr>
        <w:pStyle w:val="FirstParagraph"/>
      </w:pPr>
      <w:r>
        <w:t xml:space="preserve">Bangladesh Securities and Exchange Commission (BSEC). (2023).</w:t>
      </w:r>
      <w:r>
        <w:t xml:space="preserve"> </w:t>
      </w:r>
      <w:r>
        <w:rPr>
          <w:iCs/>
          <w:i/>
        </w:rPr>
        <w:t xml:space="preserve">Annual Report 2022-2023</w:t>
      </w:r>
      <w:r>
        <w:t xml:space="preserve">. Dhaka: BSEC Publications.</w:t>
      </w:r>
    </w:p>
    <w:p>
      <w:pPr>
        <w:pStyle w:val="BodyText"/>
      </w:pPr>
      <w:r>
        <w:t xml:space="preserve">This official publication provides a comprehensive overview of the regulatory environment governing financial markets in Bangladesh. For a Financial Analyst in Dhaka, this document is critical for understanding the compliance requirements set by the BSEC. It details the performance of the Dhaka Stock Exchange, listing regulations, and investor protection measures. The report highlights the increasing transparency in corporate governance, a key factor analysts must evaluate when assessing the risk profiles of Bangladeshi equities. It serves as a primary source for data on market capitalization and trading volumes, which are essential for macroeconomic analysis within the Dhaka financial sector.</w:t>
      </w:r>
    </w:p>
    <w:p>
      <w:pPr>
        <w:pStyle w:val="BodyText"/>
      </w:pPr>
      <w:r>
        <w:t xml:space="preserve">Bangladesh Bank. (2023).</w:t>
      </w:r>
      <w:r>
        <w:t xml:space="preserve"> </w:t>
      </w:r>
      <w:r>
        <w:rPr>
          <w:iCs/>
          <w:i/>
        </w:rPr>
        <w:t xml:space="preserve">Monetary Policy Statement: Fiscal Year 2023-2024</w:t>
      </w:r>
      <w:r>
        <w:t xml:space="preserve">. Dhaka: Department of Monetary Policy.</w:t>
      </w:r>
    </w:p>
    <w:p>
      <w:pPr>
        <w:pStyle w:val="BodyText"/>
      </w:pPr>
      <w:r>
        <w:t xml:space="preserve">As the central bank of Bangladesh, Bangladesh Bank’s monetary policy directly influences the interest rates, inflation targets, and liquidity conditions in Dhaka. This document is indispensable for Financial Analysts focusing on fixed-income securities and banking sector analysis. It outlines the central bank’s stance on foreign exchange reserves and credit growth, which are pivotal for analysts advising clients on currency risk and investment strategies in the local market. Understanding these directives allows analysts in Dhaka to predict shifts in the cost of capital for local industries.</w:t>
      </w:r>
    </w:p>
    <w:bookmarkEnd w:id="20"/>
    <w:bookmarkStart w:id="21" w:name="professional-competencies-and-education"/>
    <w:p>
      <w:pPr>
        <w:pStyle w:val="Heading2"/>
      </w:pPr>
      <w:r>
        <w:t xml:space="preserve">Professional Competencies and Education</w:t>
      </w:r>
    </w:p>
    <w:p>
      <w:pPr>
        <w:pStyle w:val="FirstParagraph"/>
      </w:pPr>
      <w:r>
        <w:t xml:space="preserve">Institute of Chartered Accountants of Bangladesh (ICAB). (2022).</w:t>
      </w:r>
      <w:r>
        <w:t xml:space="preserve"> </w:t>
      </w:r>
      <w:r>
        <w:rPr>
          <w:iCs/>
          <w:i/>
        </w:rPr>
        <w:t xml:space="preserve">Curriculum for the Professional Qualification Examination</w:t>
      </w:r>
      <w:r>
        <w:t xml:space="preserve">. Dhaka: ICAB.</w:t>
      </w:r>
    </w:p>
    <w:p>
      <w:pPr>
        <w:pStyle w:val="BodyText"/>
      </w:pPr>
      <w:r>
        <w:t xml:space="preserve">This document outlines the educational standards required for accounting and finance professionals in Bangladesh. For an aspiring Financial Analyst in Dhaka, the ICAB curriculum represents a gold standard of technical knowledge. It covers financial reporting, auditing, and taxation specific to Bangladeshi law. This resource is valuable for understanding the local accounting standards (BAS) which differ slightly from international standards. Analysts must be proficient in these standards to accurately interpret the financial statements of Dhaka-based listed companies.</w:t>
      </w:r>
    </w:p>
    <w:p>
      <w:pPr>
        <w:pStyle w:val="BodyText"/>
      </w:pPr>
      <w:r>
        <w:t xml:space="preserve">CFA Institute. (2023).</w:t>
      </w:r>
      <w:r>
        <w:t xml:space="preserve"> </w:t>
      </w:r>
      <w:r>
        <w:rPr>
          <w:iCs/>
          <w:i/>
        </w:rPr>
        <w:t xml:space="preserve">CFA Program Curriculum: Level I, II, and III</w:t>
      </w:r>
      <w:r>
        <w:t xml:space="preserve">. Charlottesville, VA: CFA Institute.</w:t>
      </w:r>
    </w:p>
    <w:p>
      <w:pPr>
        <w:pStyle w:val="BodyText"/>
      </w:pPr>
      <w:r>
        <w:t xml:space="preserve">While globally oriented, the CFA curriculum is increasingly relevant in Dhaka as multinational firms and top-tier local banks seek analysts with international certifications. This resource provides the theoretical framework for equity valuation, derivatives, and portfolio management. For a Financial Analyst in Bangladesh Dhaka, applying these global methodologies to local market data is a key competitive advantage. The curriculum helps bridge the gap between local market practices and global investment standards, ensuring analysts can communicate effectively with international investors interested in the Bangladeshi market.</w:t>
      </w:r>
    </w:p>
    <w:bookmarkEnd w:id="21"/>
    <w:bookmarkStart w:id="22" w:name="market-analysis-and-economic-context"/>
    <w:p>
      <w:pPr>
        <w:pStyle w:val="Heading2"/>
      </w:pPr>
      <w:r>
        <w:t xml:space="preserve">Market Analysis and Economic Context</w:t>
      </w:r>
    </w:p>
    <w:p>
      <w:pPr>
        <w:pStyle w:val="FirstParagraph"/>
      </w:pPr>
      <w:r>
        <w:t xml:space="preserve">World Bank. (2023).</w:t>
      </w:r>
      <w:r>
        <w:t xml:space="preserve"> </w:t>
      </w:r>
      <w:r>
        <w:rPr>
          <w:iCs/>
          <w:i/>
        </w:rPr>
        <w:t xml:space="preserve">Bangladesh Development Update: Navigating the Headwinds</w:t>
      </w:r>
      <w:r>
        <w:t xml:space="preserve">. Washington, DC: World Bank Group.</w:t>
      </w:r>
    </w:p>
    <w:p>
      <w:pPr>
        <w:pStyle w:val="BodyText"/>
      </w:pPr>
      <w:r>
        <w:t xml:space="preserve">This report offers a macroeconomic perspective on Bangladesh’s economic trajectory, focusing on inflation, fiscal deficits, and external sector vulnerabilities. For Financial Analysts in Dhaka, this document provides context for long-term investment strategies. It analyzes the impact of global economic shocks on the Bangladeshi economy, which is crucial for risk assessment. The report’s data on GDP growth and industrial output helps analysts forecast sectoral performance, particularly in the ready-made garment and pharmaceutical industries, which are central to Dhaka’s economy.</w:t>
      </w:r>
    </w:p>
    <w:p>
      <w:pPr>
        <w:pStyle w:val="BodyText"/>
      </w:pPr>
      <w:r>
        <w:t xml:space="preserve">Dhaka Stock Exchange (DSE). (2023).</w:t>
      </w:r>
      <w:r>
        <w:t xml:space="preserve"> </w:t>
      </w:r>
      <w:r>
        <w:rPr>
          <w:iCs/>
          <w:i/>
        </w:rPr>
        <w:t xml:space="preserve">Monthly Market Statistics and Corporate Actions</w:t>
      </w:r>
      <w:r>
        <w:t xml:space="preserve">. Dhaka: DSE Information Technology Department.</w:t>
      </w:r>
    </w:p>
    <w:p>
      <w:pPr>
        <w:pStyle w:val="BodyText"/>
      </w:pPr>
      <w:r>
        <w:t xml:space="preserve">This recurring publication provides granular data on trading activities, price-to-earnings ratios, and dividend distributions of companies listed in Dhaka. It is a primary tool for the day-to-day work of a Financial Analyst. The data allows for technical analysis and fundamental valuation of specific stocks. Analysts use this information to identify market trends, liquidity issues, and corporate governance red flags. It is essential for generating investment recommendations tailored to local investors and institutional funds operating within Bangladesh.</w:t>
      </w:r>
    </w:p>
    <w:bookmarkEnd w:id="22"/>
    <w:bookmarkStart w:id="23" w:name="corporate-governance-and-ethics"/>
    <w:p>
      <w:pPr>
        <w:pStyle w:val="Heading2"/>
      </w:pPr>
      <w:r>
        <w:t xml:space="preserve">Corporate Governance and Ethics</w:t>
      </w:r>
    </w:p>
    <w:p>
      <w:pPr>
        <w:pStyle w:val="FirstParagraph"/>
      </w:pPr>
      <w:r>
        <w:t xml:space="preserve">Securities and Exchange Commission of Bangladesh. (2021).</w:t>
      </w:r>
      <w:r>
        <w:t xml:space="preserve"> </w:t>
      </w:r>
      <w:r>
        <w:rPr>
          <w:iCs/>
          <w:i/>
        </w:rPr>
        <w:t xml:space="preserve">Code of Corporate Governance for Listed Companies</w:t>
      </w:r>
      <w:r>
        <w:t xml:space="preserve">. Dhaka: BSEC.</w:t>
      </w:r>
    </w:p>
    <w:p>
      <w:pPr>
        <w:pStyle w:val="BodyText"/>
      </w:pPr>
      <w:r>
        <w:t xml:space="preserve">This code establishes the standards for board composition, audit committees, and disclosure requirements for companies listed on the Dhaka Stock Exchange. For a Financial Analyst, assessing corporate governance is a critical component of risk analysis. This document provides the checklist against which analysts evaluate the integrity and transparency of Dhaka-based corporations. Poor governance is a significant risk factor in emerging markets, and this resource enables analysts to identify companies with robust internal controls versus those prone to financial misstatement.</w:t>
      </w:r>
    </w:p>
    <w:p>
      <w:pPr>
        <w:pStyle w:val="BodyText"/>
      </w:pPr>
      <w:r>
        <w:t xml:space="preserve">Rahman, M. A., &amp; Hossain, M. S. (2022). "Financial Literacy and Investment Behavior of Retail Investors in Dhaka."</w:t>
      </w:r>
      <w:r>
        <w:t xml:space="preserve"> </w:t>
      </w:r>
      <w:r>
        <w:rPr>
          <w:iCs/>
          <w:i/>
        </w:rPr>
        <w:t xml:space="preserve">Journal of Business and Finance Quarterly</w:t>
      </w:r>
      <w:r>
        <w:t xml:space="preserve">, 15(3), 45-62.</w:t>
      </w:r>
    </w:p>
    <w:p>
      <w:pPr>
        <w:pStyle w:val="BodyText"/>
      </w:pPr>
      <w:r>
        <w:t xml:space="preserve">This academic article examines the knowledge levels and decision-making processes of retail investors in Dhaka. It is highly relevant for Financial Analysts who provide advisory services to individual clients. The study reveals common misconceptions about stock market risks and the importance of professional guidance. By understanding the behavioral biases of local investors, analysts in Dhaka can tailor their communication strategies and educational materials. This resource underscores the analyst’s role not just as a number cruncher, but as an educator in a developing financial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Bangladesh Dhaka</dc:title>
  <dc:creator/>
  <dc:language>en</dc:language>
  <cp:keywords/>
  <dcterms:created xsi:type="dcterms:W3CDTF">2026-08-07T00:37:03Z</dcterms:created>
  <dcterms:modified xsi:type="dcterms:W3CDTF">2026-08-07T00:37:03Z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