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Brussels,</w:t>
      </w:r>
      <w:r>
        <w:t xml:space="preserve"> </w:t>
      </w:r>
      <w:r>
        <w:t xml:space="preserve">Belgium</w:t>
      </w:r>
    </w:p>
    <w:bookmarkStart w:id="21" w:name="annotated-bibliography"/>
    <w:p>
      <w:pPr>
        <w:pStyle w:val="Heading1"/>
      </w:pPr>
      <w:r>
        <w:t xml:space="preserve">Annotated Bibliography</w:t>
      </w:r>
    </w:p>
    <w:bookmarkStart w:id="20" w:name="Xef95114f5563b71f0ba902c6421d21f6f502881"/>
    <w:p>
      <w:pPr>
        <w:pStyle w:val="Heading2"/>
      </w:pPr>
      <w:r>
        <w:t xml:space="preserve">The Role and Regulation of the Financial Analyst in Brussels, Belgium</w:t>
      </w:r>
    </w:p>
    <w:p>
      <w:pPr>
        <w:pStyle w:val="FirstParagraph"/>
      </w:pPr>
      <w:r>
        <w:t xml:space="preserve">Prepared for: Professional Development and Regulatory Compliance</w:t>
      </w:r>
      <w:r>
        <w:br/>
      </w:r>
      <w:r>
        <w:t xml:space="preserve">Region: Brussels-Capital Region, Belgium</w:t>
      </w:r>
    </w:p>
    <w:bookmarkEnd w:id="20"/>
    <w:bookmarkEnd w:id="21"/>
    <w:p>
      <w:pPr>
        <w:pStyle w:val="BodyText"/>
      </w:pPr>
      <w:r>
        <w:t xml:space="preserve">Brussels serves as a unique nexus for the financial sector, functioning simultaneously as the capital of Belgium, the de facto capital of the European Union, and a host to numerous international organizations. For the Financial Analyst operating in this specific geography, the professional landscape is defined by a complex interplay of local Belgian labor laws, the stringent regulatory frameworks of the European Securities and Markets Authority (ESMA), and the multilingual demands of the Brussels-Capital Region. This annotated bibliography compiles essential resources that elucidate the legal, ethical, and practical requirements for financial analysts working within this jurisdiction. The selected texts cover the MiFID II directive, the specific mandates of the Belgian Financial Services and Markets Authority (FSMA), and the evolving standards of corporate governance in the EU.</w:t>
      </w:r>
    </w:p>
    <w:p>
      <w:pPr>
        <w:pStyle w:val="BodyText"/>
      </w:pPr>
      <w:r>
        <w:t xml:space="preserve"> </w:t>
      </w:r>
      <w:r>
        <w:t xml:space="preserve">European Commission. (2014). Directive 2014/65/EU on markets in financial instruments (MiFID II). Official Journal of the European Union.</w:t>
      </w:r>
      <w:r>
        <w:t xml:space="preserve"> </w:t>
      </w:r>
    </w:p>
    <w:p>
      <w:pPr>
        <w:pStyle w:val="BodyText"/>
      </w:pPr>
      <w:r>
        <w:t xml:space="preserve">This primary legislative text is the cornerstone for any Financial Analyst operating in Brussels. As the seat of the European Commission, Brussels is the epicenter of MiFID II implementation. This directive fundamentally alters how financial analysts must conduct research, manage conflicts of interest, and disclose information. For a professional in Belgium, understanding the separation of research from investment banking activities mandated by this directive is critical. The text provides the legal basis for the "unbundling" of research costs, a practice that has reshaped the revenue models of financial institutions in Brussels. It is an indispensable resource for ensuring compliance with EU-wide standards that supersede national laws.</w:t>
      </w:r>
    </w:p>
    <w:p>
      <w:pPr>
        <w:pStyle w:val="BodyText"/>
      </w:pPr>
      <w:r>
        <w:t xml:space="preserve"> </w:t>
      </w:r>
      <w:r>
        <w:t xml:space="preserve">Belgian Financial Services and Markets Authority (FSMA). (2023). Code of Conduct for Financial Advisers and Investment Firms. Brussels: FSMA Publications.</w:t>
      </w:r>
      <w:r>
        <w:t xml:space="preserve"> </w:t>
      </w:r>
    </w:p>
    <w:p>
      <w:pPr>
        <w:pStyle w:val="BodyText"/>
      </w:pPr>
      <w:r>
        <w:t xml:space="preserve">The FSMA is the national regulator responsible for overseeing the financial sector in Belgium. This document outlines the specific behavioral and operational standards required of financial analysts and investment firms within the country. While EU directives provide the framework, the FSMA code offers the granular details necessary for daily operations in Brussels. It addresses client suitability assessments, transparency requirements, and the handling of inside information. For a Financial Analyst in Brussels, this text is vital for navigating the local regulatory environment, ensuring that all analytical reports and client advice adhere to Belgian law. It serves as a practical manual for maintaining professional integrity and avoiding regulatory sanctions.</w:t>
      </w:r>
    </w:p>
    <w:p>
      <w:pPr>
        <w:pStyle w:val="BodyText"/>
      </w:pPr>
      <w:r>
        <w:t xml:space="preserve"> </w:t>
      </w:r>
      <w:r>
        <w:t xml:space="preserve">CFA Institute. (2022). Global Investment Performance Standards (GIPS) and Code of Ethics. Charlottesville, VA: CFA Institute.</w:t>
      </w:r>
      <w:r>
        <w:t xml:space="preserve"> </w:t>
      </w:r>
    </w:p>
    <w:p>
      <w:pPr>
        <w:pStyle w:val="BodyText"/>
      </w:pPr>
      <w:r>
        <w:t xml:space="preserve">Although an international body, the CFA Institute’s standards are widely adopted by financial analysts in Brussels, particularly those working for multinational corporations and international organizations headquartered in the city. This resource provides a universal benchmark for ethical conduct and performance reporting. In the context of Brussels, where analysts often deal with cross-border investments and diverse stakeholders, adherence to these global standards enhances credibility. The text is essential for understanding the ethical obligations regarding loyalty, prudence, and care, which are particularly relevant given the high-profile nature of financial activities in the EU capital.</w:t>
      </w:r>
    </w:p>
    <w:p>
      <w:pPr>
        <w:pStyle w:val="BodyText"/>
      </w:pPr>
      <w:r>
        <w:t xml:space="preserve"> </w:t>
      </w:r>
      <w:r>
        <w:t xml:space="preserve">Van den Berghe, L., &amp; De Ceuster, M. (2021). Corporate Governance in Belgium: Trends and Regulatory Developments. Journal of European Corporate Governance, 14(2), 112-135.</w:t>
      </w:r>
      <w:r>
        <w:t xml:space="preserve"> </w:t>
      </w:r>
    </w:p>
    <w:p>
      <w:pPr>
        <w:pStyle w:val="BodyText"/>
      </w:pPr>
      <w:r>
        <w:t xml:space="preserve">This academic article provides a critical analysis of the corporate governance landscape in Belgium, which is directly relevant to financial analysts conducting equity research on Belgian-listed companies. Brussels is home to the Euronext Brussels exchange, and analysts must understand the specific governance codes that apply to companies listed there. The authors discuss the evolution of the Belgian Corporate Governance Code and its impact on shareholder rights and board accountability. This resource helps analysts in Brussels interpret management decisions and assess corporate risk more accurately, providing a deeper contextual understanding than generic international frameworks.</w:t>
      </w:r>
    </w:p>
    <w:p>
      <w:pPr>
        <w:pStyle w:val="BodyText"/>
      </w:pPr>
      <w:r>
        <w:t xml:space="preserve"> </w:t>
      </w:r>
      <w:r>
        <w:t xml:space="preserve">European Securities and Markets Authority (ESMA). (2020). Guidelines on the management of conflicts of interest under MiFID II. ESMA/2020/1450.</w:t>
      </w:r>
      <w:r>
        <w:t xml:space="preserve"> </w:t>
      </w:r>
    </w:p>
    <w:p>
      <w:pPr>
        <w:pStyle w:val="BodyText"/>
      </w:pPr>
      <w:r>
        <w:t xml:space="preserve">ESMA, headquartered in Paris but with significant operational presence and influence in Brussels, issues guidelines that are binding for national regulators like the FSMA. This document is crucial for financial analysts who must navigate complex conflicts of interest, especially in a hub like Brussels where political and financial interests often intersect. It details the organizational and administrative arrangements required to identify, manage, and disclose conflicts. For an analyst in Brussels, this text is a key reference for ensuring that their research remains objective and compliant with the highest regulatory standards, protecting both their professional reputation and their firm from legal liability.</w:t>
      </w:r>
    </w:p>
    <w:p>
      <w:pPr>
        <w:pStyle w:val="BodyText"/>
      </w:pPr>
      <w:r>
        <w:t xml:space="preserve"> </w:t>
      </w:r>
      <w:r>
        <w:t xml:space="preserve">Brussels Regional Government. (2022). Economic Development Strategy: Finance and Professional Services. Brussels: Department of Economy.</w:t>
      </w:r>
      <w:r>
        <w:t xml:space="preserve"> </w:t>
      </w:r>
    </w:p>
    <w:p>
      <w:pPr>
        <w:pStyle w:val="BodyText"/>
      </w:pPr>
      <w:r>
        <w:t xml:space="preserve">This government publication outlines the strategic priorities for the financial sector within the Brussels-Capital Region. For a Financial Analyst, understanding the regional economic agenda is essential for macroeconomic analysis and sector-specific forecasting. The document highlights initiatives to attract fintech innovation and sustainable finance, areas where Brussels is actively positioning itself. It provides valuable insights into potential policy changes, incentives, and market trends that could impact investment opportunities in the region. This resource bridges the gap between high-level financial analysis and local economic policy, offering a unique perspective for analysts focused on the Belgian market.</w:t>
      </w:r>
    </w:p>
    <w:p>
      <w:pPr>
        <w:pStyle w:val="BodyText"/>
      </w:pPr>
      <w:r>
        <w:t xml:space="preserve"> </w:t>
      </w:r>
      <w:r>
        <w:t xml:space="preserve">European Central Bank (ECB). (2023). Annual Report on Sustainable Finance. Frankfurt: ECB.</w:t>
      </w:r>
      <w:r>
        <w:t xml:space="preserve"> </w:t>
      </w:r>
    </w:p>
    <w:p>
      <w:pPr>
        <w:pStyle w:val="BodyText"/>
      </w:pPr>
      <w:r>
        <w:t xml:space="preserve">While the ECB is based in Frankfurt, its policies are implemented across the Eurozone, including Belgium. This report is vital for financial analysts in Brussels who are increasingly required to integrate Environmental, Social, and Governance (ESG) factors into their analysis. Brussels is a global leader in sustainable finance regulation, and this document provides the technical and policy context for the EU’s green finance agenda. It helps analysts understand the regulatory trajectory for climate risk disclosure and sustainable investment products, enabling them to provide more comprehensive and forward-looking advice to clients operating in the Brussels market.</w:t>
      </w:r>
    </w:p>
    <w:p>
      <w:pPr>
        <w:pStyle w:val="BodyText"/>
      </w:pPr>
      <w:r>
        <w:t xml:space="preserve"> </w:t>
      </w:r>
      <w:r>
        <w:t xml:space="preserve">Belgian Institute of Statistic (Statbel). (2023). Economic Indicators and Financial Statistics. Brussels: Statbel.</w:t>
      </w:r>
      <w:r>
        <w:t xml:space="preserve"> </w:t>
      </w:r>
    </w:p>
    <w:p>
      <w:pPr>
        <w:pStyle w:val="BodyText"/>
      </w:pPr>
      <w:r>
        <w:t xml:space="preserve">Statbel is the official source of statistical data for Belgium. For any Financial Analyst working in Brussels, access to accurate, timely, and official economic data is non-negotiable. This resource provides comprehensive data on GDP, inflation, employment, and financial market indicators specific to Belgium. It is essential for building financial models, conducting economic forecasting, and validating assumptions in investment research. Relying on Statbel ensures that the analyst’s work is grounded in authoritative data, which is critical for maintaining professional standards and credibility in the competitive Brussels financial sector.</w:t>
      </w:r>
    </w:p>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Brussels, Belgium</dc:title>
  <dc:creator/>
  <dc:language>en</dc:language>
  <cp:keywords/>
  <dcterms:created xsi:type="dcterms:W3CDTF">2026-08-07T09:47:21Z</dcterms:created>
  <dcterms:modified xsi:type="dcterms:W3CDTF">2026-08-07T09:47:21Z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