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Guangzhou,</w:t>
      </w:r>
      <w:r>
        <w:t xml:space="preserve"> </w:t>
      </w:r>
      <w:r>
        <w:t xml:space="preserve">China</w:t>
      </w:r>
    </w:p>
    <w:bookmarkStart w:id="24" w:name="X3b4117894dc3b20cb096324b9b91a38ad1e0b51"/>
    <w:p>
      <w:pPr>
        <w:pStyle w:val="Heading1"/>
      </w:pPr>
      <w:r>
        <w:t xml:space="preserve">Annotated Bibliography: The Role of the Financial Analyst in Guangzhou, China</w:t>
      </w:r>
    </w:p>
    <w:p>
      <w:pPr>
        <w:pStyle w:val="FirstParagraph"/>
      </w:pPr>
      <w:r>
        <w:t xml:space="preserve">This annotated bibliography compiles key resources regarding the profession of the financial analyst within the specific economic context of Guangzhou, China. As a primary hub of the Pearl River Delta and a critical node in the Greater Bay Area (GBA) initiative, Guangzhou presents a unique landscape for financial professionals. The selected sources examine regulatory frameworks, the impact of digital transformation, cross-border investment trends, and the evolving skill sets required for analysts operating in this dynamic Chinese metropolis.</w:t>
      </w:r>
    </w:p>
    <w:bookmarkStart w:id="20" w:name="X7230c12dccf60a75ff4faf895bc8aa973db822b"/>
    <w:p>
      <w:pPr>
        <w:pStyle w:val="Heading2"/>
      </w:pPr>
      <w:r>
        <w:t xml:space="preserve">Regulatory Frameworks and Market Structure</w:t>
      </w:r>
    </w:p>
    <w:p>
      <w:pPr>
        <w:pStyle w:val="FirstParagraph"/>
      </w:pPr>
      <w:r>
        <w:t xml:space="preserve">Chen, L., &amp; Zhang, Y. (2023).</w:t>
      </w:r>
      <w:r>
        <w:t xml:space="preserve"> </w:t>
      </w:r>
      <w:r>
        <w:rPr>
          <w:iCs/>
          <w:i/>
        </w:rPr>
        <w:t xml:space="preserve">Financial Regulation and Compliance in the Greater Bay Area: Implications for Professional Practice</w:t>
      </w:r>
      <w:r>
        <w:t xml:space="preserve">. Journal of Asian Financial Markets, 15(2), 112-130.</w:t>
      </w:r>
    </w:p>
    <w:p>
      <w:pPr>
        <w:pStyle w:val="BodyText"/>
      </w:pPr>
      <w:r>
        <w:t xml:space="preserve">This article provides a comprehensive analysis of the regulatory environment governing financial services in the Greater Bay Area, with a specific focus on Guangzhou's role as a financial node. The authors detail the alignment between local Guangdong regulations and national policies set by the China Securities Regulatory Commission (CSRC). For the financial analyst in Guangzhou, this source is critical for understanding the compliance requirements surrounding data privacy, cross-border capital flows, and reporting standards. It highlights how the "Two-way Opening" policy allows for greater integration with Hong Kong and Macau, directly impacting the scope of analysis required for regional investment portfolios.</w:t>
      </w:r>
    </w:p>
    <w:p>
      <w:pPr>
        <w:pStyle w:val="BodyText"/>
      </w:pPr>
      <w:r>
        <w:t xml:space="preserve">Wang, H. (2022).</w:t>
      </w:r>
      <w:r>
        <w:t xml:space="preserve"> </w:t>
      </w:r>
      <w:r>
        <w:rPr>
          <w:iCs/>
          <w:i/>
        </w:rPr>
        <w:t xml:space="preserve">The Evolution of the Shenzhen-Guangzhou Financial Corridor: Opportunities for Equity Research</w:t>
      </w:r>
      <w:r>
        <w:t xml:space="preserve">. China Economic Review, 44(3), 201-218.</w:t>
      </w:r>
    </w:p>
    <w:p>
      <w:pPr>
        <w:pStyle w:val="BodyText"/>
      </w:pPr>
      <w:r>
        <w:t xml:space="preserve">Wang explores the symbiotic relationship between Shenzhen's tech-driven financial sector and Guangzhou's traditional manufacturing and trade-based economy. The text argues that financial analysts based in Guangzhou must possess a dual competency: understanding traditional industrial valuation metrics while adapting to the high-growth, high-volatility models prevalent in the broader GBA. This source is particularly relevant for analysts covering the manufacturing and logistics sectors, which remain the backbone of Guangzhou's GDP. It offers empirical data on how regional infrastructure projects influence local stock performance.</w:t>
      </w:r>
    </w:p>
    <w:bookmarkEnd w:id="20"/>
    <w:bookmarkStart w:id="21" w:name="Xbc1d47106519f80c3edd7c27af21b4cf818660a"/>
    <w:p>
      <w:pPr>
        <w:pStyle w:val="Heading2"/>
      </w:pPr>
      <w:r>
        <w:t xml:space="preserve">Digital Transformation and Fintech Integration</w:t>
      </w:r>
    </w:p>
    <w:p>
      <w:pPr>
        <w:pStyle w:val="FirstParagraph"/>
      </w:pPr>
      <w:r>
        <w:t xml:space="preserve">Liu, X., &amp; Roberts, J. (2024).</w:t>
      </w:r>
      <w:r>
        <w:t xml:space="preserve"> </w:t>
      </w:r>
      <w:r>
        <w:rPr>
          <w:iCs/>
          <w:i/>
        </w:rPr>
        <w:t xml:space="preserve">Artificial Intelligence in Chinese Financial Analysis: A Case Study of the Pearl River Delta</w:t>
      </w:r>
      <w:r>
        <w:t xml:space="preserve">. International Journal of Fintech, 8(1), 45-62.</w:t>
      </w:r>
    </w:p>
    <w:p>
      <w:pPr>
        <w:pStyle w:val="BodyText"/>
      </w:pPr>
      <w:r>
        <w:t xml:space="preserve">This study investigates the rapid adoption of AI and machine learning tools by financial institutions in Guangzhou. The authors argue that the role of the financial analyst in China is shifting from data aggregation to strategic interpretation due to automation. The text provides specific examples of how Guangzhou-based banks and brokerage firms are utilizing big data to assess credit risk in small and medium-sized enterprises (SMEs). For the modern analyst, this resource underscores the necessity of technical literacy in Python and data visualization tools to remain competitive in the Guangzhou job market.</w:t>
      </w:r>
    </w:p>
    <w:p>
      <w:pPr>
        <w:pStyle w:val="BodyText"/>
      </w:pPr>
      <w:r>
        <w:t xml:space="preserve">Global Fintech Report. (2023).</w:t>
      </w:r>
      <w:r>
        <w:t xml:space="preserve"> </w:t>
      </w:r>
      <w:r>
        <w:rPr>
          <w:iCs/>
          <w:i/>
        </w:rPr>
        <w:t xml:space="preserve">China's Digital Currency Pilot: Impact on Regional Financial Operations</w:t>
      </w:r>
      <w:r>
        <w:t xml:space="preserve">. World Bank Publications.</w:t>
      </w:r>
    </w:p>
    <w:p>
      <w:pPr>
        <w:pStyle w:val="BodyText"/>
      </w:pPr>
      <w:r>
        <w:t xml:space="preserve">This report examines the implementation of the Digital Yuan (e-CNY) in pilot cities, including Guangzhou. It analyzes how the integration of central bank digital currency (CBDC) affects transaction tracking, liquidity management, and financial reporting. For financial analysts, understanding the e-CNY ecosystem is becoming essential, as it alters traditional cash flow analysis and offers new avenues for real-time economic data collection. The report provides a factual overview of how Guangzhou's trade sector is adapting its financial modeling to accommodate digital currency transactions.</w:t>
      </w:r>
    </w:p>
    <w:bookmarkEnd w:id="21"/>
    <w:bookmarkStart w:id="22" w:name="Xf43a8338f45222332ac67992bbb68e6387f7805"/>
    <w:p>
      <w:pPr>
        <w:pStyle w:val="Heading2"/>
      </w:pPr>
      <w:r>
        <w:t xml:space="preserve">Cross-Border Investment and Trade Dynamics</w:t>
      </w:r>
    </w:p>
    <w:p>
      <w:pPr>
        <w:pStyle w:val="FirstParagraph"/>
      </w:pPr>
      <w:r>
        <w:t xml:space="preserve">Zhao, M. (2023).</w:t>
      </w:r>
      <w:r>
        <w:t xml:space="preserve"> </w:t>
      </w:r>
      <w:r>
        <w:rPr>
          <w:iCs/>
          <w:i/>
        </w:rPr>
        <w:t xml:space="preserve">Cross-Border M&amp;A in the Greater Bay Area: Strategic Insights for Financial Advisors</w:t>
      </w:r>
      <w:r>
        <w:t xml:space="preserve">. Harvard Business Review China, 12(4), 78-95.</w:t>
      </w:r>
    </w:p>
    <w:p>
      <w:pPr>
        <w:pStyle w:val="BodyText"/>
      </w:pPr>
      <w:r>
        <w:t xml:space="preserve">Zhao focuses on the surge in mergers and acquisitions involving Guangzhou-based firms and international partners. The article highlights the specific valuation challenges analysts face when dealing with cross-border deals, including currency fluctuation risks and differing accounting standards (CAS vs. IFRS). It emphasizes the importance of cultural intelligence and regulatory navigation in the deal-making process. This source is invaluable for analysts specializing in corporate finance and investment banking within Guangzhou, offering case studies of successful and failed integrations in the region.</w:t>
      </w:r>
    </w:p>
    <w:p>
      <w:pPr>
        <w:pStyle w:val="BodyText"/>
      </w:pPr>
      <w:r>
        <w:t xml:space="preserve">International Trade Administration. (2024).</w:t>
      </w:r>
      <w:r>
        <w:t xml:space="preserve"> </w:t>
      </w:r>
      <w:r>
        <w:rPr>
          <w:iCs/>
          <w:i/>
        </w:rPr>
        <w:t xml:space="preserve">Doing Business in China: Guangzhou Market Entry and Financial Considerations</w:t>
      </w:r>
      <w:r>
        <w:t xml:space="preserve">. U.S. Department of Commerce.</w:t>
      </w:r>
    </w:p>
    <w:p>
      <w:pPr>
        <w:pStyle w:val="BodyText"/>
      </w:pPr>
      <w:r>
        <w:t xml:space="preserve">This government publication offers a practical guide for foreign entities entering the Guangzhou market. It details the financial incentives, tax structures, and banking relationships necessary for successful market entry. For financial analysts advising multinational corporations, this document serves as a foundational reference for conducting feasibility studies and financial projections. It specifically addresses the unique economic policies of the Guangzhou Free Trade Zone, which offer distinct advantages for foreign investment and trade finance.</w:t>
      </w:r>
    </w:p>
    <w:bookmarkEnd w:id="22"/>
    <w:bookmarkStart w:id="23" w:name="X283c3604ee075b0a77a0776d34638edd66453f3"/>
    <w:p>
      <w:pPr>
        <w:pStyle w:val="Heading2"/>
      </w:pPr>
      <w:r>
        <w:t xml:space="preserve">Professional Development and Skill Requirements</w:t>
      </w:r>
    </w:p>
    <w:p>
      <w:pPr>
        <w:pStyle w:val="FirstParagraph"/>
      </w:pPr>
      <w:r>
        <w:t xml:space="preserve">Sun, Q., &amp; Li, W. (2022).</w:t>
      </w:r>
      <w:r>
        <w:t xml:space="preserve"> </w:t>
      </w:r>
      <w:r>
        <w:rPr>
          <w:iCs/>
          <w:i/>
        </w:rPr>
        <w:t xml:space="preserve">Competency Models for Financial Professionals in Emerging Asian Markets</w:t>
      </w:r>
      <w:r>
        <w:t xml:space="preserve">. Asia-Pacific Journal of Human Resources, 30(2), 155-170.</w:t>
      </w:r>
    </w:p>
    <w:p>
      <w:pPr>
        <w:pStyle w:val="BodyText"/>
      </w:pPr>
      <w:r>
        <w:t xml:space="preserve">This academic paper outlines the evolving competency models required for financial analysts in China's tier-one cities, including Guangzhou. The authors identify a growing demand for soft skills, such as negotiation and cross-cultural communication, alongside technical financial modeling abilities. The study suggests that analysts in Guangzhou must be adept at navigating "guanxi" (relationship networks) while maintaining strict professional ethics. This resource is useful for career development planning and for organizations designing training programs for their financial teams in the region.</w:t>
      </w:r>
    </w:p>
    <w:p>
      <w:pPr>
        <w:pStyle w:val="BodyText"/>
      </w:pPr>
      <w:r>
        <w:t xml:space="preserve">CFA Institute. (2023).</w:t>
      </w:r>
      <w:r>
        <w:t xml:space="preserve"> </w:t>
      </w:r>
      <w:r>
        <w:rPr>
          <w:iCs/>
          <w:i/>
        </w:rPr>
        <w:t xml:space="preserve">Global Investment Performance Standards: Application in the Chinese Market</w:t>
      </w:r>
      <w:r>
        <w:t xml:space="preserve">. CFA Institute Research Foundation.</w:t>
      </w:r>
    </w:p>
    <w:p>
      <w:pPr>
        <w:pStyle w:val="BodyText"/>
      </w:pPr>
      <w:r>
        <w:t xml:space="preserve">This publication discusses the adoption of Global Investment Performance Standards (GIPS) by asset managers in China. It highlights the increasing pressure on financial analysts in Guangzhou to adhere to international transparency and reporting standards to attract foreign capital. The text provides guidelines on how to reconcile local reporting requirements with global best practices. For analysts seeking to work with international funds or global clients based in Guangzhou, this document is essential for ensuring compliance and credibility in performance reporting.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Guangzhou, China</dc:title>
  <dc:creator/>
  <dc:language>en</dc:language>
  <cp:keywords/>
  <dcterms:created xsi:type="dcterms:W3CDTF">2026-08-07T03:02:11Z</dcterms:created>
  <dcterms:modified xsi:type="dcterms:W3CDTF">2026-08-07T03:02:11Z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