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Frankfurt,</w:t>
      </w:r>
      <w:r>
        <w:t xml:space="preserve"> </w:t>
      </w:r>
      <w:r>
        <w:t xml:space="preserve">Germany</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Regulation, and Market Dynamics of the Financial Analyst in Frankfurt, Germany</w:t>
      </w:r>
    </w:p>
    <w:p>
      <w:pPr>
        <w:pStyle w:val="BodyText"/>
      </w:pPr>
      <w:r>
        <w:rPr>
          <w:bCs/>
          <w:b/>
        </w:rPr>
        <w:t xml:space="preserve">Date:</w:t>
      </w:r>
      <w:r>
        <w:t xml:space="preserve"> </w:t>
      </w:r>
      <w:r>
        <w:t xml:space="preserve">October 2023</w:t>
      </w:r>
    </w:p>
    <w:bookmarkEnd w:id="20"/>
    <w:p>
      <w:pPr>
        <w:pStyle w:val="BodyText"/>
      </w:pPr>
      <w:r>
        <w:t xml:space="preserve">Frankfurt am Main serves as the undisputed financial capital of Germany and a pivotal hub for the European economy. Home to the European Central Bank (ECB), the Deutsche Bundesbank, and the Frankfurt Stock Exchange (Frankfurter Wertpapierbörse), the city presents a unique ecosystem for the Financial Analyst. This annotated bibliography compiles key resources regarding the professional landscape for analysts in this specific jurisdiction. The selected texts cover regulatory frameworks such as MiFID II, the cultural nuances of German corporate finance, the impact of the ECB on market analysis, and the evolving skill sets required to thrive in the Mainhattan district.</w:t>
      </w:r>
    </w:p>
    <w:bookmarkStart w:id="21" w:name="regulatory-frameworks-and-compliance"/>
    <w:p>
      <w:pPr>
        <w:pStyle w:val="Heading2"/>
      </w:pPr>
      <w:r>
        <w:t xml:space="preserve">Regulatory Frameworks and Compliance</w:t>
      </w:r>
    </w:p>
    <w:p>
      <w:pPr>
        <w:pStyle w:val="FirstParagraph"/>
      </w:pPr>
      <w:r>
        <w:t xml:space="preserve">European Securities and Markets Authority (ESMA). (2018).</w:t>
      </w:r>
      <w:r>
        <w:t xml:space="preserve"> </w:t>
      </w:r>
      <w:r>
        <w:rPr>
          <w:iCs/>
          <w:i/>
        </w:rPr>
        <w:t xml:space="preserve">Guidelines on the disclosure of information to clients under MiFID II</w:t>
      </w:r>
      <w:r>
        <w:t xml:space="preserve">. ESMA/2018/1453.</w:t>
      </w:r>
    </w:p>
    <w:p>
      <w:pPr>
        <w:pStyle w:val="BodyText"/>
      </w:pPr>
      <w:r>
        <w:t xml:space="preserve">This document is essential for any Financial Analyst operating in Frankfurt, as the city hosts numerous investment firms subject to strict EU regulations. The guidelines detail the requirements for research independence and the unbundling of research costs from execution costs. For an analyst in Frankfurt, understanding these rules is critical, as they dictate how research is commissioned, produced, and distributed. The text provides a comprehensive overview of compliance standards that prevent conflicts of interest, a major concern in the German banking sector. It serves as a primary reference for ensuring that financial analysis adheres to the highest ethical and legal standards mandated by the European Union.</w:t>
      </w:r>
    </w:p>
    <w:p>
      <w:pPr>
        <w:pStyle w:val="BodyText"/>
      </w:pPr>
      <w:r>
        <w:t xml:space="preserve">BaFin (Federal Financial Supervisory Authority). (2022).</w:t>
      </w:r>
      <w:r>
        <w:t xml:space="preserve"> </w:t>
      </w:r>
      <w:r>
        <w:rPr>
          <w:iCs/>
          <w:i/>
        </w:rPr>
        <w:t xml:space="preserve">Annual Report on the Supervision of Investment Services</w:t>
      </w:r>
      <w:r>
        <w:t xml:space="preserve">. Berlin: BaFin.</w:t>
      </w:r>
    </w:p>
    <w:p>
      <w:pPr>
        <w:pStyle w:val="BodyText"/>
      </w:pPr>
      <w:r>
        <w:t xml:space="preserve">BaFin is the national regulatory authority that oversees the financial markets in Germany, including the activities of analysts in Frankfurt. This annual report offers specific insights into enforcement actions and supervisory priorities within the German jurisdiction. It highlights common pitfalls for analysts, such as inadequate risk disclosures or breaches of insider trading regulations. For a professional working in Frankfurt, this resource is invaluable for understanding the local enforcement climate. It bridges the gap between broad EU directives and their practical application by German authorities, providing a realistic view of the compliance burden faced by financial institutions in the region.</w:t>
      </w:r>
    </w:p>
    <w:bookmarkEnd w:id="21"/>
    <w:bookmarkStart w:id="22" w:name="X8439e82c5a609b1c821311dc103ef1803ff50fa"/>
    <w:p>
      <w:pPr>
        <w:pStyle w:val="Heading2"/>
      </w:pPr>
      <w:r>
        <w:t xml:space="preserve">Market Dynamics and Institutional Influence</w:t>
      </w:r>
    </w:p>
    <w:p>
      <w:pPr>
        <w:pStyle w:val="FirstParagraph"/>
      </w:pPr>
      <w:r>
        <w:t xml:space="preserve">Deutsche Bundesbank. (2023).</w:t>
      </w:r>
      <w:r>
        <w:t xml:space="preserve"> </w:t>
      </w:r>
      <w:r>
        <w:rPr>
          <w:iCs/>
          <w:i/>
        </w:rPr>
        <w:t xml:space="preserve">Monthly Report: Financial Markets and Monetary Policy</w:t>
      </w:r>
      <w:r>
        <w:t xml:space="preserve">. Frankfurt am Main: Deutsche Bundesbank.</w:t>
      </w:r>
    </w:p>
    <w:p>
      <w:pPr>
        <w:pStyle w:val="BodyText"/>
      </w:pPr>
      <w:r>
        <w:t xml:space="preserve">As the central bank of Germany is headquartered in Frankfurt, its publications are primary sources for any Financial Analyst in the city. This monthly report provides granular data on the German economy, credit markets, and banking sector stability. Unlike broader Eurozone reports, this publication offers specific metrics relevant to the DAX and German corporate bonds. For an analyst based in Frankfurt, mastering the interpretation of this data is crucial for macroeconomic analysis. The report’s depth allows analysts to anticipate shifts in monetary policy that directly impact the local banking giants and industrial conglomerates headquartered in the region.</w:t>
      </w:r>
    </w:p>
    <w:p>
      <w:pPr>
        <w:pStyle w:val="BodyText"/>
      </w:pPr>
      <w:r>
        <w:t xml:space="preserve">European Central Bank (ECB). (2023).</w:t>
      </w:r>
      <w:r>
        <w:t xml:space="preserve"> </w:t>
      </w:r>
      <w:r>
        <w:rPr>
          <w:iCs/>
          <w:i/>
        </w:rPr>
        <w:t xml:space="preserve">Financial Stability Review</w:t>
      </w:r>
      <w:r>
        <w:t xml:space="preserve">. Frankfurt am Main: ECB.</w:t>
      </w:r>
    </w:p>
    <w:p>
      <w:pPr>
        <w:pStyle w:val="BodyText"/>
      </w:pPr>
      <w:r>
        <w:t xml:space="preserve">Given that the ECB is located in Frankfurt, the city is the epicenter of Eurozone financial stability monitoring. This biannual review assesses risks to financial stability in the euro area, with a significant focus on the banking systems of major economies like Germany. For a Financial Analyst in Frankfurt, this document is indispensable for understanding systemic risks, liquidity conditions, and regulatory stress tests. It provides a macro-level perspective that complements micro-level company analysis. The proximity of the ECB to Frankfurt’s financial district means that insights from this review often drive immediate market sentiment and trading strategies within the city.</w:t>
      </w:r>
    </w:p>
    <w:bookmarkEnd w:id="22"/>
    <w:bookmarkStart w:id="23" w:name="X2f7e2dcfa8b93d04f078285ec220585e3eb4de2"/>
    <w:p>
      <w:pPr>
        <w:pStyle w:val="Heading2"/>
      </w:pPr>
      <w:r>
        <w:t xml:space="preserve">Professional Practice and Corporate Culture</w:t>
      </w:r>
    </w:p>
    <w:p>
      <w:pPr>
        <w:pStyle w:val="FirstParagraph"/>
      </w:pPr>
      <w:r>
        <w:t xml:space="preserve">CFA Institute. (2021).</w:t>
      </w:r>
      <w:r>
        <w:t xml:space="preserve"> </w:t>
      </w:r>
      <w:r>
        <w:rPr>
          <w:iCs/>
          <w:i/>
        </w:rPr>
        <w:t xml:space="preserve">Global Investment Performance Standards (GIPS) and Ethical Standards in European Markets</w:t>
      </w:r>
      <w:r>
        <w:t xml:space="preserve">. Charlottesville, VA: CFA Institute.</w:t>
      </w:r>
    </w:p>
    <w:p>
      <w:pPr>
        <w:pStyle w:val="BodyText"/>
      </w:pPr>
      <w:r>
        <w:t xml:space="preserve">The Chartered Financial Analyst (CFA) designation is highly respected in Frankfurt’s competitive job market. This text outlines the ethical standards and performance reporting requirements that are increasingly adopted by German asset managers and banks. It addresses the cultural shift in German finance towards greater transparency and international alignment. For an aspiring or current Financial Analyst in Frankfurt, this resource is critical for career advancement. It explains how to navigate the intersection of German corporate conservatism and global investment practices, ensuring that analysts can communicate effectively with international clients while respecting local business norms.</w:t>
      </w:r>
    </w:p>
    <w:p>
      <w:pPr>
        <w:pStyle w:val="BodyText"/>
      </w:pPr>
      <w:r>
        <w:t xml:space="preserve">Müller, H., &amp; Schmidt, K. (2020).</w:t>
      </w:r>
      <w:r>
        <w:t xml:space="preserve"> </w:t>
      </w:r>
      <w:r>
        <w:rPr>
          <w:iCs/>
          <w:i/>
        </w:rPr>
        <w:t xml:space="preserve">Corporate Governance in Germany: The Role of Stakeholders and Analysts</w:t>
      </w:r>
      <w:r>
        <w:t xml:space="preserve">. Journal of European Corporate Governance, 12(3), 45-67.</w:t>
      </w:r>
    </w:p>
    <w:p>
      <w:pPr>
        <w:pStyle w:val="BodyText"/>
      </w:pPr>
      <w:r>
        <w:t xml:space="preserve">This academic article provides a nuanced analysis of the German model of corporate governance, which differs significantly from the Anglo-American model. It discusses the role of the supervisory board (Aufsichtsrat) and the importance of stakeholder interests, including employees and banks. For a Financial Analyst in Frankfurt, understanding this structure is vital for accurate valuation and risk assessment of German companies. The article highlights how analysts must interpret governance signals differently in Germany, where long-term stability often outweighs short-term shareholder returns. It is a key resource for adapting analytical frameworks to the specific institutional environment of Frankfurt’s corporate sector.</w:t>
      </w:r>
    </w:p>
    <w:bookmarkEnd w:id="23"/>
    <w:bookmarkStart w:id="24" w:name="Xb7e9786b5f70ff54edb4dc198f63b6fc584c8b9"/>
    <w:p>
      <w:pPr>
        <w:pStyle w:val="Heading2"/>
      </w:pPr>
      <w:r>
        <w:t xml:space="preserve">Technological Evolution and Future Trends</w:t>
      </w:r>
    </w:p>
    <w:p>
      <w:pPr>
        <w:pStyle w:val="FirstParagraph"/>
      </w:pPr>
      <w:r>
        <w:t xml:space="preserve">McKinsey &amp; Company. (2022).</w:t>
      </w:r>
      <w:r>
        <w:t xml:space="preserve"> </w:t>
      </w:r>
      <w:r>
        <w:rPr>
          <w:iCs/>
          <w:i/>
        </w:rPr>
        <w:t xml:space="preserve">The Future of Finance in Germany: Digitalization and the Analyst’s Role</w:t>
      </w:r>
      <w:r>
        <w:t xml:space="preserve">. Frankfurt am Main: McKinsey Global Institute.</w:t>
      </w:r>
    </w:p>
    <w:p>
      <w:pPr>
        <w:pStyle w:val="BodyText"/>
      </w:pPr>
      <w:r>
        <w:t xml:space="preserve">This report examines the rapid digital transformation of the financial sector in Germany, with a specific focus on Frankfurt as a fintech hub. It explores how artificial intelligence, big data, and automation are reshaping the tasks of the Financial Analyst. The document argues that while routine data processing is being automated, the demand for strategic insight and complex modeling in Frankfurt is increasing. For professionals in the city, this text serves as a roadmap for upskilling. It emphasizes the need for analysts to become proficient in data science tools while maintaining deep domain knowledge of the German and European markets.</w:t>
      </w:r>
    </w:p>
    <w:p>
      <w:pPr>
        <w:pStyle w:val="BodyText"/>
      </w:pPr>
      <w:r>
        <w:t xml:space="preserve">Deutsche Börse Group. (2023).</w:t>
      </w:r>
      <w:r>
        <w:t xml:space="preserve"> </w:t>
      </w:r>
      <w:r>
        <w:rPr>
          <w:iCs/>
          <w:i/>
        </w:rPr>
        <w:t xml:space="preserve">Sustainability Reporting and ESG Integration in European Capital Markets</w:t>
      </w:r>
      <w:r>
        <w:t xml:space="preserve">. Frankfurt am Main: Deutsche Börse.</w:t>
      </w:r>
    </w:p>
    <w:p>
      <w:pPr>
        <w:pStyle w:val="BodyText"/>
      </w:pPr>
      <w:r>
        <w:t xml:space="preserve">As the operator of the Frankfurt Stock Exchange, Deutsche Börse is a leader in promoting Environmental, Social, and Governance (ESG) criteria. This publication details the new reporting standards and data requirements for listed companies in Germany. For a Financial Analyst in Frankfurt, integrating ESG factors into valuation models is no longer optional but a core competency. The document provides practical guidance on assessing sustainability risks and opportunities specific to German industries, such as automotive and manufacturing. It is an essential reference for analysts aiming to meet the growing demand for sustainable investment analysis in the Frankfurt market.</w:t>
      </w:r>
    </w:p>
    <w:p>
      <w:pPr>
        <w:pStyle w:val="BodyText"/>
      </w:pPr>
      <w:r>
        <w:t xml:space="preserve">This annotated bibliography is intended for educational and professional reference purposes regarding the Financial Analyst profession in Frankfurt, Germany.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Financial Analyst in Frankfurt, Germany</dc:title>
  <dc:creator/>
  <dc:language>en</dc:language>
  <cp:keywords/>
  <dcterms:created xsi:type="dcterms:W3CDTF">2026-08-07T06:33:48Z</dcterms:created>
  <dcterms:modified xsi:type="dcterms:W3CDTF">2026-08-07T06:33:48Z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