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p>
    <w:bookmarkStart w:id="23" w:name="X2cd4dfa4d912550bd4bb3ae40cf66f11bf9d426"/>
    <w:p>
      <w:pPr>
        <w:pStyle w:val="Heading1"/>
      </w:pPr>
      <w:r>
        <w:t xml:space="preserve">Annotated Bibliography: The Role and Evolution of the Financial Analyst in Indonesia Jakarta</w:t>
      </w:r>
    </w:p>
    <w:p>
      <w:pPr>
        <w:pStyle w:val="FirstParagraph"/>
      </w:pPr>
      <w:r>
        <w:t xml:space="preserve">This annotated bibliography compiles essential literature regarding the profession of the</w:t>
      </w:r>
      <w:r>
        <w:t xml:space="preserve"> </w:t>
      </w:r>
      <w:r>
        <w:rPr>
          <w:bCs/>
          <w:b/>
        </w:rPr>
        <w:t xml:space="preserve">Financial Analyst</w:t>
      </w:r>
      <w:r>
        <w:t xml:space="preserve"> </w:t>
      </w:r>
      <w:r>
        <w:t xml:space="preserve">within the specific economic and regulatory context of</w:t>
      </w:r>
      <w:r>
        <w:t xml:space="preserve"> </w:t>
      </w:r>
      <w:r>
        <w:rPr>
          <w:bCs/>
          <w:b/>
        </w:rPr>
        <w:t xml:space="preserve">Indonesia Jakarta</w:t>
      </w:r>
      <w:r>
        <w:t xml:space="preserve">. As the capital city and financial hub of the nation, Jakarta presents a unique environment characterized by rapid digital transformation, evolving regulatory frameworks from the Otoritas Jasa Keuangan (OJK), and a competitive landscape for financial talent. The following sources provide a comprehensive overview of the skills, challenges, and future outlook for financial analysts operating in this dynamic market.</w:t>
      </w:r>
    </w:p>
    <w:bookmarkStart w:id="20" w:name="Xf8c719d2ef2d44dc8d18bff52a09f4554478458"/>
    <w:p>
      <w:pPr>
        <w:pStyle w:val="Heading2"/>
      </w:pPr>
      <w:r>
        <w:t xml:space="preserve">Regulatory Frameworks and Professional Standards</w:t>
      </w:r>
    </w:p>
    <w:p>
      <w:pPr>
        <w:pStyle w:val="FirstParagraph"/>
      </w:pPr>
      <w:r>
        <w:t xml:space="preserve">Otoritas Jasa Keuangan (OJK). (2023).</w:t>
      </w:r>
      <w:r>
        <w:t xml:space="preserve"> </w:t>
      </w:r>
      <w:r>
        <w:rPr>
          <w:iCs/>
          <w:i/>
        </w:rPr>
        <w:t xml:space="preserve">Regulation of the Financial Services Authority No. 13/POJK.03/2023 on the Implementation of Good Corporate Governance for Public Companies</w:t>
      </w:r>
      <w:r>
        <w:t xml:space="preserve">. Jakarta: OJK.</w:t>
      </w:r>
    </w:p>
    <w:p>
      <w:pPr>
        <w:pStyle w:val="BodyText"/>
      </w:pPr>
      <w:r>
        <w:t xml:space="preserve">This primary source is critical for any Financial Analyst working in Jakarta. It outlines the mandatory compliance requirements for public companies listed on the Indonesia Stock Exchange (IDX). For analysts, this regulation dictates the standards of financial reporting transparency and internal control mechanisms they must evaluate. The document is particularly relevant for understanding how Jakarta-based firms are adapting to stricter governance rules, which directly impacts risk assessment models and valuation methodologies used by analysts in the region.</w:t>
      </w:r>
    </w:p>
    <w:p>
      <w:pPr>
        <w:pStyle w:val="BodyText"/>
      </w:pPr>
      <w:r>
        <w:t xml:space="preserve">Keywords: OJK, Corporate Governance, IDX, Compliance, Jakarta Regulation.</w:t>
      </w:r>
    </w:p>
    <w:p>
      <w:pPr>
        <w:pStyle w:val="BodyText"/>
      </w:pPr>
      <w:r>
        <w:t xml:space="preserve">Institute of Certified Public Accountants of Indonesia (IAPI). (2022).</w:t>
      </w:r>
      <w:r>
        <w:t xml:space="preserve"> </w:t>
      </w:r>
      <w:r>
        <w:rPr>
          <w:iCs/>
          <w:i/>
        </w:rPr>
        <w:t xml:space="preserve">Indonesian Financial Reporting Standards (IFRS) Adoption and Implementation Guide</w:t>
      </w:r>
      <w:r>
        <w:t xml:space="preserve">. Jakarta: IAPI.</w:t>
      </w:r>
    </w:p>
    <w:p>
      <w:pPr>
        <w:pStyle w:val="BodyText"/>
      </w:pPr>
      <w:r>
        <w:t xml:space="preserve">This guide details the alignment of Indonesian accounting standards with international IFRS. For a Financial Analyst in Jakarta, mastery of these standards is non-negotiable. The text provides specific case studies relevant to Indonesian industries, such as banking and manufacturing, which dominate the Jakarta market. It serves as a technical reference for ensuring that financial analysis is conducted using accurate, comparable, and internationally recognized metrics, facilitating better cross-border investment decisions.</w:t>
      </w:r>
    </w:p>
    <w:p>
      <w:pPr>
        <w:pStyle w:val="BodyText"/>
      </w:pPr>
      <w:r>
        <w:t xml:space="preserve">Keywords: IFRS, IAPI, Accounting Standards, Financial Reporting, Indonesia.</w:t>
      </w:r>
    </w:p>
    <w:bookmarkEnd w:id="20"/>
    <w:bookmarkStart w:id="21" w:name="market-dynamics-and-economic-context"/>
    <w:p>
      <w:pPr>
        <w:pStyle w:val="Heading2"/>
      </w:pPr>
      <w:r>
        <w:t xml:space="preserve">Market Dynamics and Economic Context</w:t>
      </w:r>
    </w:p>
    <w:p>
      <w:pPr>
        <w:pStyle w:val="FirstParagraph"/>
      </w:pPr>
      <w:r>
        <w:t xml:space="preserve">Bank Indonesia. (2023).</w:t>
      </w:r>
      <w:r>
        <w:t xml:space="preserve"> </w:t>
      </w:r>
      <w:r>
        <w:rPr>
          <w:iCs/>
          <w:i/>
        </w:rPr>
        <w:t xml:space="preserve">Monetary Policy Report: Stability and Growth in the Indonesian Economy</w:t>
      </w:r>
      <w:r>
        <w:t xml:space="preserve">. Jakarta: Bank Indonesia.</w:t>
      </w:r>
    </w:p>
    <w:p>
      <w:pPr>
        <w:pStyle w:val="BodyText"/>
      </w:pPr>
      <w:r>
        <w:t xml:space="preserve">This report offers a macroeconomic perspective essential for strategic financial analysis. It covers interest rate trends, inflation data, and currency stability specific to Indonesia. Financial Analysts in Jakarta rely on this data to forecast economic conditions that affect corporate earnings and investment flows. The report highlights the central bank's strategies in maintaining stability amidst global volatility, providing analysts with the context needed to advise stakeholders on capital allocation and risk management within the Jakarta financial ecosystem.</w:t>
      </w:r>
    </w:p>
    <w:p>
      <w:pPr>
        <w:pStyle w:val="BodyText"/>
      </w:pPr>
      <w:r>
        <w:t xml:space="preserve">Keywords: Bank Indonesia, Monetary Policy, Macroeconomics, Interest Rates, Economic Forecasting.</w:t>
      </w:r>
    </w:p>
    <w:p>
      <w:pPr>
        <w:pStyle w:val="BodyText"/>
      </w:pPr>
      <w:r>
        <w:t xml:space="preserve">Indonesia Stock Exchange (IDX). (2023).</w:t>
      </w:r>
      <w:r>
        <w:t xml:space="preserve"> </w:t>
      </w:r>
      <w:r>
        <w:rPr>
          <w:iCs/>
          <w:i/>
        </w:rPr>
        <w:t xml:space="preserve">Annual Report: Market Performance and Investor Trends</w:t>
      </w:r>
      <w:r>
        <w:t xml:space="preserve">. Jakarta: IDX.</w:t>
      </w:r>
    </w:p>
    <w:p>
      <w:pPr>
        <w:pStyle w:val="BodyText"/>
      </w:pPr>
      <w:r>
        <w:t xml:space="preserve">As the primary venue for equity trading in the country, the IDX Annual Report is a vital resource. It provides detailed statistics on trading volumes, foreign investment flows, and sector performance in Jakarta. For Financial Analysts, this document is indispensable for sector analysis and benchmarking. It reveals emerging trends in the Jakarta market, such as the growing interest in green bonds and technology stocks, allowing analysts to tailor their investment recommendations to current market sentiments and liquidity conditions.</w:t>
      </w:r>
    </w:p>
    <w:p>
      <w:pPr>
        <w:pStyle w:val="BodyText"/>
      </w:pPr>
      <w:r>
        <w:t xml:space="preserve">Keywords: IDX, Stock Market, Equity Analysis, Investment Trends, Jakarta Finance.</w:t>
      </w:r>
    </w:p>
    <w:bookmarkEnd w:id="21"/>
    <w:bookmarkStart w:id="22" w:name="skills-technology-and-future-trends"/>
    <w:p>
      <w:pPr>
        <w:pStyle w:val="Heading2"/>
      </w:pPr>
      <w:r>
        <w:t xml:space="preserve">Skills, Technology, and Future Trends</w:t>
      </w:r>
    </w:p>
    <w:p>
      <w:pPr>
        <w:pStyle w:val="FirstParagraph"/>
      </w:pPr>
      <w:r>
        <w:t xml:space="preserve">Sari, D., &amp; Wijaya, A. (2022). "The Impact of Financial Technology (Fintech) on the Role of Financial Analysts in Jakarta."</w:t>
      </w:r>
      <w:r>
        <w:t xml:space="preserve"> </w:t>
      </w:r>
      <w:r>
        <w:rPr>
          <w:iCs/>
          <w:i/>
        </w:rPr>
        <w:t xml:space="preserve">Journal of Indonesian Business and Economics</w:t>
      </w:r>
      <w:r>
        <w:t xml:space="preserve">, 15(2), 112-129.</w:t>
      </w:r>
    </w:p>
    <w:p>
      <w:pPr>
        <w:pStyle w:val="BodyText"/>
      </w:pPr>
      <w:r>
        <w:t xml:space="preserve">This academic article explores how the rapid adoption of Fintech in Jakarta is reshaping the Financial Analyst profession. It argues that while automation handles routine data processing, the demand for strategic interpretation and complex problem-solving has increased. The study is particularly relevant for professionals in Jakarta, a hub for Fintech innovation in Southeast Asia. It provides insights into the necessary upskilling in data analytics and AI tools that analysts must undertake to remain competitive in the modern Jakarta workplace.</w:t>
      </w:r>
    </w:p>
    <w:p>
      <w:pPr>
        <w:pStyle w:val="BodyText"/>
      </w:pPr>
      <w:r>
        <w:t xml:space="preserve">Keywords: Fintech, Automation, Data Analytics, Career Development, Jakarta Tech.</w:t>
      </w:r>
    </w:p>
    <w:p>
      <w:pPr>
        <w:pStyle w:val="BodyText"/>
      </w:pPr>
      <w:r>
        <w:t xml:space="preserve">Global Association of Risk Professionals (GARP). (2023).</w:t>
      </w:r>
      <w:r>
        <w:t xml:space="preserve"> </w:t>
      </w:r>
      <w:r>
        <w:rPr>
          <w:iCs/>
          <w:i/>
        </w:rPr>
        <w:t xml:space="preserve">Risk Management in Emerging Markets: A Focus on Southeast Asia</w:t>
      </w:r>
      <w:r>
        <w:t xml:space="preserve">. Singapore: GARP.</w:t>
      </w:r>
    </w:p>
    <w:p>
      <w:pPr>
        <w:pStyle w:val="BodyText"/>
      </w:pPr>
      <w:r>
        <w:t xml:space="preserve">Although published regionally, this text dedicates significant attention to Indonesia and Jakarta. It discusses the unique risk factors financial analysts must consider, including political stability, regulatory changes, and currency fluctuations. For analysts operating in Jakarta, this book offers frameworks for integrating these emerging market risks into financial models. It emphasizes the importance of a holistic risk management approach, which is crucial for protecting assets and ensuring sustainable growth in Indonesia's evolving economic landscape.</w:t>
      </w:r>
    </w:p>
    <w:p>
      <w:pPr>
        <w:pStyle w:val="BodyText"/>
      </w:pPr>
      <w:r>
        <w:t xml:space="preserve">Keywords: Risk Management, Emerging Markets, Southeast Asia, Financial Modeling, GARP.</w:t>
      </w:r>
    </w:p>
    <w:p>
      <w:pPr>
        <w:pStyle w:val="BodyText"/>
      </w:pPr>
      <w:r>
        <w:t xml:space="preserve">Pratama, R. (2021).</w:t>
      </w:r>
      <w:r>
        <w:t xml:space="preserve"> </w:t>
      </w:r>
      <w:r>
        <w:rPr>
          <w:iCs/>
          <w:i/>
        </w:rPr>
        <w:t xml:space="preserve">ESG Investing in Indonesia: Opportunities and Challenges for Financial Analysts</w:t>
      </w:r>
      <w:r>
        <w:t xml:space="preserve">. Jakarta: Center for Strategic and International Studies (CSIS).</w:t>
      </w:r>
    </w:p>
    <w:p>
      <w:pPr>
        <w:pStyle w:val="BodyText"/>
      </w:pPr>
      <w:r>
        <w:t xml:space="preserve">This publication addresses the growing importance of Environmental, Social, and Governance (ESG) criteria in investment decisions. It highlights how Jakarta-based companies are responding to global ESG pressures and how analysts can incorporate these factors into their valuations. The text is essential for understanding the shift towards sustainable finance in Indonesia. It provides practical guidance on assessing ESG risks and opportunities, making it a key resource for Financial Analysts aiming to align their work with global sustainability standards while operating in the Indonesian market.</w:t>
      </w:r>
    </w:p>
    <w:p>
      <w:pPr>
        <w:pStyle w:val="BodyText"/>
      </w:pPr>
      <w:r>
        <w:t xml:space="preserve">Keywords: ESG, Sustainable Finance, Corporate Responsibility, Investment Criteria, Indonesia.</w:t>
      </w:r>
    </w:p>
    <w:p>
      <w:pPr>
        <w:pStyle w:val="BodyText"/>
      </w:pPr>
      <w:r>
        <w:t xml:space="preserve">LinkedIn Learning. (2023).</w:t>
      </w:r>
      <w:r>
        <w:t xml:space="preserve"> </w:t>
      </w:r>
      <w:r>
        <w:rPr>
          <w:iCs/>
          <w:i/>
        </w:rPr>
        <w:t xml:space="preserve">Financial Analysis for Emerging Markets: Indonesia Case Studies</w:t>
      </w:r>
      <w:r>
        <w:t xml:space="preserve">. [Online Course].</w:t>
      </w:r>
    </w:p>
    <w:p>
      <w:pPr>
        <w:pStyle w:val="BodyText"/>
      </w:pPr>
      <w:r>
        <w:t xml:space="preserve">This digital resource offers practical, scenario-based learning for Financial Analysts. It focuses on real-world challenges faced by professionals in Jakarta, such as analyzing state-owned enterprises and navigating local tax laws. The course material is highly applicable for continuous professional development, offering tools and techniques that are immediately usable in the Jakarta business environment. It bridges the gap between theoretical knowledge and the practical demands of the local financial sector.</w:t>
      </w:r>
    </w:p>
    <w:p>
      <w:pPr>
        <w:pStyle w:val="BodyText"/>
      </w:pPr>
      <w:r>
        <w:t xml:space="preserve">Keywords: Professional Development, Case Studies, Tax Law, State-Owned Enterprises, Online Learning.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Indonesia Jakarta</dc:title>
  <dc:creator/>
  <dc:language>en</dc:language>
  <cp:keywords/>
  <dcterms:created xsi:type="dcterms:W3CDTF">2026-08-07T02:16:23Z</dcterms:created>
  <dcterms:modified xsi:type="dcterms:W3CDTF">2026-08-07T02:16:23Z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